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CA984" w14:textId="25F9612E" w:rsidR="00453B12" w:rsidRPr="00C11589" w:rsidRDefault="00453B12" w:rsidP="00453B12">
      <w:pPr>
        <w:widowControl w:val="0"/>
        <w:tabs>
          <w:tab w:val="right" w:pos="9639"/>
        </w:tabs>
        <w:spacing w:after="0"/>
        <w:rPr>
          <w:rFonts w:ascii="Arial" w:eastAsia="Times New Roman" w:hAnsi="Arial"/>
          <w:b/>
          <w:bCs/>
          <w:sz w:val="24"/>
          <w:szCs w:val="24"/>
        </w:rPr>
      </w:pPr>
      <w:r w:rsidRPr="46221458">
        <w:rPr>
          <w:rFonts w:ascii="Arial" w:eastAsia="Times New Roman" w:hAnsi="Arial"/>
          <w:b/>
          <w:bCs/>
          <w:sz w:val="24"/>
          <w:szCs w:val="24"/>
        </w:rPr>
        <w:t>3GPP TSG-RAN WG2 Meeting #12</w:t>
      </w:r>
      <w:r w:rsidR="00E13306">
        <w:rPr>
          <w:rFonts w:ascii="Arial" w:eastAsia="Times New Roman" w:hAnsi="Arial"/>
          <w:b/>
          <w:bCs/>
          <w:sz w:val="24"/>
          <w:szCs w:val="24"/>
        </w:rPr>
        <w:t>9</w:t>
      </w:r>
      <w:r w:rsidR="00226225">
        <w:rPr>
          <w:rFonts w:ascii="Arial" w:eastAsia="Times New Roman" w:hAnsi="Arial"/>
          <w:b/>
          <w:bCs/>
          <w:sz w:val="24"/>
          <w:szCs w:val="24"/>
        </w:rPr>
        <w:t>bis</w:t>
      </w:r>
      <w:r w:rsidRPr="46221458">
        <w:rPr>
          <w:rFonts w:ascii="Arial" w:eastAsia="Times New Roman" w:hAnsi="Arial"/>
          <w:b/>
          <w:bCs/>
          <w:sz w:val="24"/>
          <w:szCs w:val="24"/>
        </w:rPr>
        <w:t xml:space="preserve">                                    </w:t>
      </w:r>
      <w:r>
        <w:tab/>
      </w:r>
      <w:r w:rsidRPr="46221458">
        <w:rPr>
          <w:rFonts w:ascii="Arial" w:eastAsia="Times New Roman" w:hAnsi="Arial"/>
          <w:b/>
          <w:bCs/>
          <w:sz w:val="24"/>
          <w:szCs w:val="24"/>
        </w:rPr>
        <w:t>R2-2</w:t>
      </w:r>
      <w:r w:rsidR="006A2801">
        <w:rPr>
          <w:rFonts w:ascii="Arial" w:eastAsia="Times New Roman" w:hAnsi="Arial"/>
          <w:b/>
          <w:bCs/>
          <w:sz w:val="24"/>
          <w:szCs w:val="24"/>
        </w:rPr>
        <w:t>502653</w:t>
      </w:r>
    </w:p>
    <w:p w14:paraId="3CF0036C" w14:textId="383B4C0C" w:rsidR="00453B12" w:rsidRDefault="00907CC9" w:rsidP="00453B1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Wuhan</w:t>
      </w:r>
      <w:r w:rsidR="00226225">
        <w:rPr>
          <w:rFonts w:ascii="Arial" w:eastAsia="Times New Roman" w:hAnsi="Arial"/>
          <w:b/>
          <w:bCs/>
          <w:sz w:val="24"/>
          <w:szCs w:val="24"/>
        </w:rPr>
        <w:t>, China</w:t>
      </w:r>
      <w:r w:rsidR="00222E1E" w:rsidRPr="00222E1E">
        <w:rPr>
          <w:rFonts w:ascii="Arial" w:eastAsia="Times New Roman" w:hAnsi="Arial"/>
          <w:b/>
          <w:bCs/>
          <w:sz w:val="24"/>
          <w:szCs w:val="24"/>
        </w:rPr>
        <w:t xml:space="preserve">, </w:t>
      </w:r>
      <w:r w:rsidR="00226225">
        <w:rPr>
          <w:rFonts w:ascii="Arial" w:eastAsia="Times New Roman" w:hAnsi="Arial"/>
          <w:b/>
          <w:bCs/>
          <w:sz w:val="24"/>
          <w:szCs w:val="24"/>
        </w:rPr>
        <w:t xml:space="preserve">April </w:t>
      </w:r>
      <w:r w:rsidR="00E13306">
        <w:rPr>
          <w:rFonts w:ascii="Arial" w:eastAsia="Times New Roman" w:hAnsi="Arial"/>
          <w:b/>
          <w:bCs/>
          <w:sz w:val="24"/>
          <w:szCs w:val="24"/>
        </w:rPr>
        <w:t>7</w:t>
      </w:r>
      <w:r w:rsidR="00222E1E" w:rsidRPr="00222E1E">
        <w:rPr>
          <w:rFonts w:ascii="Arial" w:eastAsia="Times New Roman" w:hAnsi="Arial"/>
          <w:b/>
          <w:bCs/>
          <w:sz w:val="24"/>
          <w:szCs w:val="24"/>
        </w:rPr>
        <w:t xml:space="preserve">th – </w:t>
      </w:r>
      <w:r w:rsidR="00226225">
        <w:rPr>
          <w:rFonts w:ascii="Arial" w:eastAsia="Times New Roman" w:hAnsi="Arial"/>
          <w:b/>
          <w:bCs/>
          <w:sz w:val="24"/>
          <w:szCs w:val="24"/>
        </w:rPr>
        <w:t>11th</w:t>
      </w:r>
      <w:r w:rsidR="00222E1E" w:rsidRPr="00222E1E">
        <w:rPr>
          <w:rFonts w:ascii="Arial" w:eastAsia="Times New Roman" w:hAnsi="Arial"/>
          <w:b/>
          <w:bCs/>
          <w:sz w:val="24"/>
          <w:szCs w:val="24"/>
        </w:rPr>
        <w:t>, 202</w:t>
      </w:r>
      <w:r w:rsidR="00B31D1C">
        <w:rPr>
          <w:rFonts w:ascii="Arial" w:eastAsia="Times New Roman" w:hAnsi="Arial"/>
          <w:b/>
          <w:bCs/>
          <w:sz w:val="24"/>
          <w:szCs w:val="24"/>
        </w:rPr>
        <w:t>5</w:t>
      </w:r>
      <w:r w:rsidR="00810FAE" w:rsidRPr="00810FAE">
        <w:rPr>
          <w:rFonts w:ascii="Arial" w:eastAsia="Times New Roman" w:hAnsi="Arial"/>
          <w:b/>
          <w:bCs/>
          <w:sz w:val="24"/>
          <w:szCs w:val="24"/>
        </w:rPr>
        <w:t xml:space="preserve">                                 </w:t>
      </w:r>
      <w:r w:rsidR="005A6301" w:rsidRPr="005A6301">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7E7D8203" w:rsidR="00453B12" w:rsidRPr="006D3016" w:rsidRDefault="00453B12" w:rsidP="00453B12">
      <w:pPr>
        <w:tabs>
          <w:tab w:val="left" w:pos="1985"/>
        </w:tabs>
        <w:spacing w:after="120"/>
        <w:rPr>
          <w:rFonts w:ascii="Arial" w:eastAsia="MS Mincho" w:hAnsi="Arial" w:cs="Arial"/>
          <w:b/>
          <w:sz w:val="24"/>
          <w:szCs w:val="24"/>
        </w:rPr>
      </w:pPr>
      <w:r w:rsidRPr="6F6D4ACA">
        <w:rPr>
          <w:rFonts w:ascii="Arial" w:eastAsia="MS Mincho" w:hAnsi="Arial" w:cs="Arial"/>
          <w:b/>
          <w:sz w:val="24"/>
          <w:szCs w:val="24"/>
        </w:rPr>
        <w:t>Agenda item:</w:t>
      </w:r>
      <w:r>
        <w:tab/>
      </w:r>
      <w:r w:rsidR="4F90B789" w:rsidRPr="6F6D4ACA">
        <w:rPr>
          <w:rFonts w:ascii="Arial" w:eastAsia="MS Mincho" w:hAnsi="Arial" w:cs="Arial"/>
          <w:b/>
          <w:bCs/>
          <w:sz w:val="24"/>
          <w:szCs w:val="24"/>
        </w:rPr>
        <w:t>7.0.2.17</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26FAB79C" w:rsidR="00453B12" w:rsidRPr="006D3016" w:rsidRDefault="00453B12" w:rsidP="38D724B7">
      <w:pPr>
        <w:ind w:left="1985" w:hanging="1985"/>
        <w:rPr>
          <w:rFonts w:ascii="Arial" w:eastAsia="Times New Roman" w:hAnsi="Arial" w:cs="Arial"/>
          <w:b/>
          <w:bCs/>
          <w:sz w:val="24"/>
          <w:szCs w:val="24"/>
        </w:rPr>
      </w:pPr>
      <w:r w:rsidRPr="38D724B7">
        <w:rPr>
          <w:rFonts w:ascii="Arial" w:eastAsia="Times New Roman" w:hAnsi="Arial" w:cs="Arial"/>
          <w:b/>
          <w:bCs/>
          <w:sz w:val="24"/>
          <w:szCs w:val="24"/>
        </w:rPr>
        <w:t>Title:</w:t>
      </w:r>
      <w:r>
        <w:tab/>
      </w:r>
      <w:r w:rsidR="00226225">
        <w:rPr>
          <w:rFonts w:ascii="Arial" w:eastAsia="Times New Roman" w:hAnsi="Arial" w:cs="Arial"/>
          <w:b/>
          <w:bCs/>
          <w:sz w:val="24"/>
          <w:szCs w:val="24"/>
        </w:rPr>
        <w:t>Way forward for soft satellite switch with resync</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52317F18" w14:textId="53505F75" w:rsidR="007064FB" w:rsidRDefault="00741D32" w:rsidP="00336E47">
      <w:pPr>
        <w:pStyle w:val="B1"/>
        <w:ind w:left="0" w:firstLine="0"/>
      </w:pPr>
      <w:r>
        <w:t>RAN2 has received LS</w:t>
      </w:r>
      <w:r w:rsidR="00A9111B">
        <w:t xml:space="preserve"> reply</w:t>
      </w:r>
      <w:r>
        <w:t xml:space="preserve"> from </w:t>
      </w:r>
      <w:r w:rsidR="00A9111B">
        <w:t xml:space="preserve">RAN1 and </w:t>
      </w:r>
      <w:r>
        <w:t>RAN4 in</w:t>
      </w:r>
      <w:r w:rsidR="00DE2585">
        <w:t xml:space="preserve"> [1]</w:t>
      </w:r>
      <w:r>
        <w:t xml:space="preserve"> </w:t>
      </w:r>
      <w:r w:rsidR="00336E47">
        <w:t>and [2]</w:t>
      </w:r>
      <w:r w:rsidR="00A9111B">
        <w:t xml:space="preserve"> with further counter questions.</w:t>
      </w:r>
      <w:r w:rsidR="000F2DCA">
        <w:t xml:space="preserve"> In this document, we provide a way forward </w:t>
      </w:r>
      <w:r w:rsidR="008C03D9">
        <w:t xml:space="preserve">not to extend the discussion and complicate the Rel-18 </w:t>
      </w:r>
      <w:r w:rsidR="00BF3B46">
        <w:t>soft satellite switch with resync feature of a frozen specification.</w:t>
      </w:r>
      <w:r w:rsidR="000F2DCA">
        <w:t xml:space="preserve"> </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3C13EA3B" w14:textId="554EB999" w:rsidR="004A1731" w:rsidRDefault="004A1731" w:rsidP="004A1731">
      <w:r>
        <w:t>The current procedure for soft satellite switch with resync</w:t>
      </w:r>
      <w:r w:rsidR="001F705F">
        <w:t>hronization</w:t>
      </w:r>
      <w:r>
        <w:t xml:space="preserve"> is defined as follows in TS 38.331.</w:t>
      </w:r>
    </w:p>
    <w:p w14:paraId="7C88B81E" w14:textId="5F56ADD5" w:rsidR="004A1731" w:rsidRPr="004A1731" w:rsidRDefault="00020E79" w:rsidP="004A1731">
      <w:r w:rsidRPr="00020E79">
        <w:rPr>
          <w:noProof/>
        </w:rPr>
        <w:lastRenderedPageBreak/>
        <w:drawing>
          <wp:inline distT="0" distB="0" distL="0" distR="0" wp14:anchorId="1B57B0CD" wp14:editId="6ACB5FA5">
            <wp:extent cx="5923915" cy="3745230"/>
            <wp:effectExtent l="0" t="0" r="635" b="7620"/>
            <wp:docPr id="1334517295"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517295" name="Picture 1" descr="A screenshot of a computer program&#10;&#10;AI-generated content may be incorrect."/>
                    <pic:cNvPicPr/>
                  </pic:nvPicPr>
                  <pic:blipFill>
                    <a:blip r:embed="rId11"/>
                    <a:stretch>
                      <a:fillRect/>
                    </a:stretch>
                  </pic:blipFill>
                  <pic:spPr>
                    <a:xfrm>
                      <a:off x="0" y="0"/>
                      <a:ext cx="5923915" cy="3745230"/>
                    </a:xfrm>
                    <a:prstGeom prst="rect">
                      <a:avLst/>
                    </a:prstGeom>
                  </pic:spPr>
                </pic:pic>
              </a:graphicData>
            </a:graphic>
          </wp:inline>
        </w:drawing>
      </w:r>
    </w:p>
    <w:p w14:paraId="535CE989" w14:textId="77777777" w:rsidR="00955651" w:rsidRDefault="00985A1C" w:rsidP="00955651">
      <w:pPr>
        <w:keepNext/>
        <w:jc w:val="center"/>
      </w:pPr>
      <w:r>
        <w:object w:dxaOrig="10142" w:dyaOrig="3916" w14:anchorId="79387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7pt;height:145.75pt" o:ole="">
            <v:imagedata r:id="rId12" o:title=""/>
          </v:shape>
          <o:OLEObject Type="Embed" ProgID="Visio.Drawing.15" ShapeID="_x0000_i1025" DrawAspect="Content" ObjectID="_1804622113" r:id="rId13"/>
        </w:object>
      </w:r>
    </w:p>
    <w:p w14:paraId="300244F4" w14:textId="1A57293C" w:rsidR="00985A1C" w:rsidRDefault="00955651" w:rsidP="00955651">
      <w:pPr>
        <w:pStyle w:val="Caption"/>
        <w:jc w:val="center"/>
      </w:pPr>
      <w:r>
        <w:t xml:space="preserve">Figure </w:t>
      </w:r>
      <w:r>
        <w:fldChar w:fldCharType="begin"/>
      </w:r>
      <w:r>
        <w:instrText xml:space="preserve"> SEQ Figure \* ARABIC </w:instrText>
      </w:r>
      <w:r>
        <w:fldChar w:fldCharType="separate"/>
      </w:r>
      <w:r w:rsidR="00E90E7C">
        <w:rPr>
          <w:noProof/>
        </w:rPr>
        <w:t>1</w:t>
      </w:r>
      <w:r>
        <w:fldChar w:fldCharType="end"/>
      </w:r>
      <w:r w:rsidR="00215177">
        <w:t xml:space="preserve"> time variant SMTC</w:t>
      </w:r>
    </w:p>
    <w:p w14:paraId="0030F291" w14:textId="1B3FA545" w:rsidR="009E27D7" w:rsidRDefault="009E27D7" w:rsidP="001D4933">
      <w:r>
        <w:t>In NTN, the</w:t>
      </w:r>
      <w:r w:rsidR="003D492B">
        <w:t xml:space="preserve"> propagation delay is </w:t>
      </w:r>
      <w:r w:rsidR="003C28EB">
        <w:t xml:space="preserve">inherently time </w:t>
      </w:r>
      <w:r w:rsidR="003D492B">
        <w:t>variant</w:t>
      </w:r>
      <w:r w:rsidR="003C28EB">
        <w:t>. As shown in figure 1, the SMTC configuration needs to be updated by network periodically as in RRC_IDLE, we do not have mechanism of autonomous SMTC adjustment in RRC_CONNECTED mode.</w:t>
      </w:r>
      <w:r w:rsidR="00771069">
        <w:t xml:space="preserve"> Therefore,</w:t>
      </w:r>
      <w:r w:rsidR="00955651">
        <w:t xml:space="preserve"> we do not have a mechanism to save a RRC reconfiguration </w:t>
      </w:r>
      <w:r w:rsidR="00735790">
        <w:t>for</w:t>
      </w:r>
      <w:r w:rsidR="00F5358A">
        <w:t xml:space="preserve"> the purpose of</w:t>
      </w:r>
      <w:r w:rsidR="00955651">
        <w:t xml:space="preserve"> SMTC update.</w:t>
      </w:r>
    </w:p>
    <w:p w14:paraId="09811D7B" w14:textId="00F7ACE8" w:rsidR="00955651" w:rsidRDefault="00955651" w:rsidP="00955651">
      <w:pPr>
        <w:pStyle w:val="Observation"/>
      </w:pPr>
      <w:bookmarkStart w:id="0" w:name="_Toc192856885"/>
      <w:bookmarkStart w:id="1" w:name="_Toc192857139"/>
      <w:bookmarkStart w:id="2" w:name="_Toc192918830"/>
      <w:bookmarkStart w:id="3" w:name="_Toc193194626"/>
      <w:bookmarkStart w:id="4" w:name="_Toc193195025"/>
      <w:bookmarkStart w:id="5" w:name="_Toc193195100"/>
      <w:bookmarkStart w:id="6" w:name="_Toc193195137"/>
      <w:bookmarkStart w:id="7" w:name="_Toc193195643"/>
      <w:bookmarkStart w:id="8" w:name="_Toc193895421"/>
      <w:bookmarkStart w:id="9" w:name="_Toc193898159"/>
      <w:bookmarkStart w:id="10" w:name="_Toc193974231"/>
      <w:bookmarkStart w:id="11" w:name="_Toc193975968"/>
      <w:bookmarkStart w:id="12" w:name="_Toc193976212"/>
      <w:bookmarkStart w:id="13" w:name="_Toc193999118"/>
      <w:bookmarkStart w:id="14" w:name="_Toc193999216"/>
      <w:bookmarkStart w:id="15" w:name="_Toc194008439"/>
      <w:bookmarkStart w:id="16" w:name="_Toc194008696"/>
      <w:bookmarkStart w:id="17" w:name="_Toc194009030"/>
      <w:r>
        <w:t>In NTN, the propagation delay is inherently time variant. As shown in figure 1, the SMTC configuration needs to be updated by network periodically.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788B206" w14:textId="77777777" w:rsidR="00955651" w:rsidRDefault="00955651" w:rsidP="00955651">
      <w:r>
        <w:lastRenderedPageBreak/>
        <w:t>In RAN2#126, it was clarified that when the UE completes satellite switch in HARD satellite switch case, the SSB location of the cell is not changed.</w:t>
      </w:r>
    </w:p>
    <w:p w14:paraId="522292EE" w14:textId="77777777" w:rsidR="00955651" w:rsidRDefault="00955651" w:rsidP="00955651">
      <w:r>
        <w:t>RAN2#126 agreement:</w:t>
      </w:r>
    </w:p>
    <w:p w14:paraId="136B8CF4" w14:textId="77777777" w:rsidR="00955651" w:rsidRPr="009A07F8" w:rsidRDefault="00955651" w:rsidP="00955651">
      <w:pPr>
        <w:pStyle w:val="Agreement"/>
        <w:spacing w:after="240"/>
      </w:pPr>
      <w:r>
        <w:t xml:space="preserve">RAN2 understands that </w:t>
      </w:r>
      <w:r w:rsidRPr="00D64251">
        <w:t>in hard switch (t-</w:t>
      </w:r>
      <w:proofErr w:type="spellStart"/>
      <w:r w:rsidRPr="00D64251">
        <w:t>serviceStart</w:t>
      </w:r>
      <w:proofErr w:type="spellEnd"/>
      <w:r w:rsidRPr="00D64251">
        <w:t xml:space="preserve"> absent), cell timing/SSB location is unchanged (at </w:t>
      </w:r>
      <w:proofErr w:type="spellStart"/>
      <w:r w:rsidRPr="00D64251">
        <w:t>gNB</w:t>
      </w:r>
      <w:proofErr w:type="spellEnd"/>
      <w:r w:rsidRPr="00D64251">
        <w:t>)</w:t>
      </w:r>
    </w:p>
    <w:p w14:paraId="200B33FA" w14:textId="77777777" w:rsidR="00955651" w:rsidRDefault="00955651" w:rsidP="00955651">
      <w:r>
        <w:t xml:space="preserve">In case of soft satellite switch, i.e., when </w:t>
      </w:r>
      <w:r w:rsidRPr="00192E66">
        <w:rPr>
          <w:i/>
          <w:iCs/>
        </w:rPr>
        <w:t>t-</w:t>
      </w:r>
      <w:proofErr w:type="spellStart"/>
      <w:r w:rsidRPr="00192E66">
        <w:rPr>
          <w:i/>
          <w:iCs/>
        </w:rPr>
        <w:t>serviceStart</w:t>
      </w:r>
      <w:proofErr w:type="spellEnd"/>
      <w:r w:rsidRPr="00192E66">
        <w:rPr>
          <w:i/>
          <w:iCs/>
        </w:rPr>
        <w:t xml:space="preserve"> </w:t>
      </w:r>
      <w:r>
        <w:t xml:space="preserve">is present, it should be clear that cell timing/SSB location will change depending on the value of </w:t>
      </w:r>
      <w:proofErr w:type="spellStart"/>
      <w:r w:rsidRPr="6B033A71">
        <w:rPr>
          <w:i/>
          <w:iCs/>
        </w:rPr>
        <w:t>ssb-TimeOffset</w:t>
      </w:r>
      <w:proofErr w:type="spellEnd"/>
      <w:r>
        <w:t>. However, the MIB is not supposed to be changed as it is same serving cell.</w:t>
      </w:r>
    </w:p>
    <w:p w14:paraId="68D5AE4C" w14:textId="4B60BD08" w:rsidR="00955651" w:rsidRDefault="00955651" w:rsidP="00955651">
      <w:r>
        <w:t xml:space="preserve">It means if MIB is acquired in SFN x, then the SFN where MIB was acquired from the target satellite after </w:t>
      </w:r>
      <w:proofErr w:type="spellStart"/>
      <w:r w:rsidRPr="6B033A71">
        <w:rPr>
          <w:i/>
          <w:iCs/>
        </w:rPr>
        <w:t>ssb-TimeOffset</w:t>
      </w:r>
      <w:proofErr w:type="spellEnd"/>
      <w:r>
        <w:t xml:space="preserve"> should also be SFN x</w:t>
      </w:r>
      <w:r w:rsidR="002D7583">
        <w:t>, i.e.,</w:t>
      </w:r>
      <w:r w:rsidR="00613188">
        <w:t xml:space="preserve"> SSB and SFN mapping should work in the same way in the target satellite</w:t>
      </w:r>
      <w:r>
        <w:t>.</w:t>
      </w:r>
    </w:p>
    <w:p w14:paraId="3000ED29" w14:textId="4AA41DED" w:rsidR="00E96AFC" w:rsidRDefault="001F2277" w:rsidP="00955651">
      <w:r>
        <w:t>Due to this, the SMTC may also need to be updated in the new serving</w:t>
      </w:r>
      <w:r w:rsidR="00123097">
        <w:t xml:space="preserve"> satellite. However, as mentioned earlier, regular update of SMTC is inevitable and there is no need </w:t>
      </w:r>
      <w:r w:rsidR="006C5A76">
        <w:t>for adding complexity to the feature such as shifting the SSB location back and forth.</w:t>
      </w:r>
    </w:p>
    <w:p w14:paraId="29EFACAF" w14:textId="43E52675" w:rsidR="00E90E7C" w:rsidRDefault="009B7F2C" w:rsidP="00E90E7C">
      <w:pPr>
        <w:keepNext/>
      </w:pPr>
      <w:r>
        <w:object w:dxaOrig="14642" w:dyaOrig="4322" w14:anchorId="0BAFE88A">
          <v:shape id="_x0000_i1026" type="#_x0000_t75" style="width:466.55pt;height:137.65pt" o:ole="">
            <v:imagedata r:id="rId14" o:title=""/>
          </v:shape>
          <o:OLEObject Type="Embed" ProgID="Visio.Drawing.15" ShapeID="_x0000_i1026" DrawAspect="Content" ObjectID="_1804622114" r:id="rId15"/>
        </w:object>
      </w:r>
    </w:p>
    <w:p w14:paraId="4183DEFC" w14:textId="6DDF42B5" w:rsidR="004A70B4" w:rsidRDefault="00E90E7C" w:rsidP="00E90E7C">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An example of satellite switch with resync operation</w:t>
      </w:r>
    </w:p>
    <w:p w14:paraId="017D62A8" w14:textId="3267BA9C" w:rsidR="003E0996" w:rsidRDefault="003E0996" w:rsidP="00955651">
      <w:r>
        <w:t xml:space="preserve">In our view, immediately after switching </w:t>
      </w:r>
      <w:r w:rsidR="007945AD">
        <w:t>to the new satellite (i.e., after t-Service),</w:t>
      </w:r>
      <w:r w:rsidR="004A70B4">
        <w:t xml:space="preserve"> there is no need for shifting the SSB location back due to following reasons.</w:t>
      </w:r>
    </w:p>
    <w:p w14:paraId="4096E465" w14:textId="160751FF" w:rsidR="00EE2A27" w:rsidRDefault="00EE2A27" w:rsidP="004A70B4">
      <w:pPr>
        <w:pStyle w:val="ListParagraph"/>
        <w:numPr>
          <w:ilvl w:val="1"/>
          <w:numId w:val="4"/>
        </w:numPr>
      </w:pPr>
      <w:r>
        <w:t>Current</w:t>
      </w:r>
      <w:r w:rsidR="00B23074">
        <w:t xml:space="preserve"> procedure of </w:t>
      </w:r>
      <w:r>
        <w:t>SSB to SFN mapping should be preserved.</w:t>
      </w:r>
    </w:p>
    <w:p w14:paraId="5B917271" w14:textId="4E1617AB" w:rsidR="004A70B4" w:rsidRDefault="00BB7295" w:rsidP="004A70B4">
      <w:pPr>
        <w:pStyle w:val="ListParagraph"/>
        <w:numPr>
          <w:ilvl w:val="1"/>
          <w:numId w:val="4"/>
        </w:numPr>
      </w:pPr>
      <w:r>
        <w:t>During period between [t-</w:t>
      </w:r>
      <w:proofErr w:type="spellStart"/>
      <w:r>
        <w:t>ServiceStart</w:t>
      </w:r>
      <w:proofErr w:type="spellEnd"/>
      <w:r>
        <w:t xml:space="preserve"> and t-Service], new UEs may find the cell and join the cell.</w:t>
      </w:r>
      <w:r w:rsidR="00177636">
        <w:t xml:space="preserve"> </w:t>
      </w:r>
    </w:p>
    <w:p w14:paraId="2CA1112C" w14:textId="16C1D53F" w:rsidR="0003579E" w:rsidRDefault="0003579E" w:rsidP="004A70B4">
      <w:pPr>
        <w:pStyle w:val="ListParagraph"/>
        <w:numPr>
          <w:ilvl w:val="1"/>
          <w:numId w:val="4"/>
        </w:numPr>
      </w:pPr>
      <w:r>
        <w:t xml:space="preserve">Regular SMTC update anyway would be needed and there is no guarantee </w:t>
      </w:r>
      <w:r w:rsidR="00391D29">
        <w:t>that</w:t>
      </w:r>
      <w:r>
        <w:t xml:space="preserve"> a RRC reconfiguration</w:t>
      </w:r>
      <w:r w:rsidR="00391D29">
        <w:t xml:space="preserve"> will be avoided</w:t>
      </w:r>
      <w:r>
        <w:t>.</w:t>
      </w:r>
    </w:p>
    <w:p w14:paraId="1FD3AEC3" w14:textId="234C20C8" w:rsidR="00391D29" w:rsidRDefault="00391D29" w:rsidP="004A70B4">
      <w:pPr>
        <w:pStyle w:val="ListParagraph"/>
        <w:numPr>
          <w:ilvl w:val="1"/>
          <w:numId w:val="4"/>
        </w:numPr>
      </w:pPr>
      <w:r>
        <w:t>The</w:t>
      </w:r>
      <w:r w:rsidR="00851451">
        <w:t xml:space="preserve"> previously configured</w:t>
      </w:r>
      <w:r>
        <w:t xml:space="preserve"> PDD report</w:t>
      </w:r>
      <w:r w:rsidR="00851451">
        <w:t xml:space="preserve">ing will not work. This </w:t>
      </w:r>
      <w:proofErr w:type="gramStart"/>
      <w:r w:rsidR="00851451">
        <w:t>has to</w:t>
      </w:r>
      <w:proofErr w:type="gramEnd"/>
      <w:r w:rsidR="00851451">
        <w:t xml:space="preserve"> be reconfigured </w:t>
      </w:r>
      <w:r w:rsidR="23FCD4BB">
        <w:t>with</w:t>
      </w:r>
      <w:r w:rsidR="00851451">
        <w:t xml:space="preserve"> new satellite with a new RRC reconfiguration message.</w:t>
      </w:r>
      <w:r w:rsidR="00B23074">
        <w:t xml:space="preserve"> So even the new</w:t>
      </w:r>
      <w:r w:rsidR="00AC4C6B">
        <w:t xml:space="preserve"> solution does not guarantee to avoid this.</w:t>
      </w:r>
    </w:p>
    <w:p w14:paraId="604DA5BF" w14:textId="04625883" w:rsidR="001D2A02" w:rsidRDefault="001D2A02" w:rsidP="004A70B4">
      <w:pPr>
        <w:pStyle w:val="ListParagraph"/>
        <w:numPr>
          <w:ilvl w:val="1"/>
          <w:numId w:val="4"/>
        </w:numPr>
      </w:pPr>
      <w:r>
        <w:t xml:space="preserve">When a UE performs satellite switch with resync, the </w:t>
      </w:r>
      <w:r w:rsidR="08245C33">
        <w:t xml:space="preserve">UE may not </w:t>
      </w:r>
      <w:r w:rsidR="00AC4C6B">
        <w:t xml:space="preserve">immediately </w:t>
      </w:r>
      <w:r w:rsidR="08245C33">
        <w:t>have</w:t>
      </w:r>
      <w:r>
        <w:t xml:space="preserve"> updated </w:t>
      </w:r>
      <w:r w:rsidR="08245C33">
        <w:t xml:space="preserve">list of </w:t>
      </w:r>
      <w:proofErr w:type="spellStart"/>
      <w:r w:rsidR="08245C33">
        <w:t>neighbor</w:t>
      </w:r>
      <w:proofErr w:type="spellEnd"/>
      <w:r w:rsidR="08245C33">
        <w:t xml:space="preserve"> satellites to perform measurements</w:t>
      </w:r>
      <w:r>
        <w:t>.</w:t>
      </w:r>
    </w:p>
    <w:p w14:paraId="693F234C" w14:textId="53EC71EF" w:rsidR="0032059F" w:rsidRDefault="00556787" w:rsidP="0032059F">
      <w:pPr>
        <w:pStyle w:val="ListParagraph"/>
        <w:numPr>
          <w:ilvl w:val="2"/>
          <w:numId w:val="4"/>
        </w:numPr>
      </w:pPr>
      <w:r>
        <w:lastRenderedPageBreak/>
        <w:t>A</w:t>
      </w:r>
      <w:r w:rsidR="004A1731">
        <w:t>s exact time to acquire SIB</w:t>
      </w:r>
      <w:r w:rsidR="7B5C2490">
        <w:t>19</w:t>
      </w:r>
      <w:r w:rsidR="004A1731">
        <w:t xml:space="preserve"> is left to UE</w:t>
      </w:r>
      <w:r w:rsidR="0032059F">
        <w:t xml:space="preserve"> </w:t>
      </w:r>
      <w:r w:rsidR="090FA621">
        <w:t>implementation</w:t>
      </w:r>
      <w:r w:rsidR="00003FFA">
        <w:t>.</w:t>
      </w:r>
    </w:p>
    <w:p w14:paraId="6E1739AE" w14:textId="55D799D2" w:rsidR="001618D1" w:rsidRDefault="001618D1" w:rsidP="00003FFA">
      <w:pPr>
        <w:pStyle w:val="ListParagraph"/>
        <w:numPr>
          <w:ilvl w:val="1"/>
          <w:numId w:val="4"/>
        </w:numPr>
      </w:pPr>
      <w:r>
        <w:t xml:space="preserve">After </w:t>
      </w:r>
      <w:r w:rsidR="00E4056F">
        <w:t xml:space="preserve">joining at t-Service, the new satellite’s t-Service would still be far away. There must be still enough service duration with the new satellite which gives no motivation to immediately start </w:t>
      </w:r>
      <w:proofErr w:type="spellStart"/>
      <w:r w:rsidR="00E4056F">
        <w:t>neighbor</w:t>
      </w:r>
      <w:proofErr w:type="spellEnd"/>
      <w:r w:rsidR="00E4056F">
        <w:t xml:space="preserve"> cell measurements for handover.</w:t>
      </w:r>
    </w:p>
    <w:p w14:paraId="607155B9" w14:textId="79A6482E" w:rsidR="00882924" w:rsidRDefault="00882924" w:rsidP="001C7304">
      <w:pPr>
        <w:pStyle w:val="Observation"/>
      </w:pPr>
      <w:bookmarkStart w:id="18" w:name="_Toc192857140"/>
      <w:bookmarkStart w:id="19" w:name="_Toc192918831"/>
      <w:bookmarkStart w:id="20" w:name="_Toc193194627"/>
      <w:bookmarkStart w:id="21" w:name="_Toc193195026"/>
      <w:bookmarkStart w:id="22" w:name="_Toc193195101"/>
      <w:bookmarkStart w:id="23" w:name="_Toc193195138"/>
      <w:bookmarkStart w:id="24" w:name="_Toc193195644"/>
      <w:bookmarkStart w:id="25" w:name="_Toc193895422"/>
      <w:bookmarkStart w:id="26" w:name="_Toc193898160"/>
      <w:bookmarkStart w:id="27" w:name="_Toc193974232"/>
      <w:bookmarkStart w:id="28" w:name="_Toc193975969"/>
      <w:bookmarkStart w:id="29" w:name="_Toc193976213"/>
      <w:bookmarkStart w:id="30" w:name="_Toc193999119"/>
      <w:bookmarkStart w:id="31" w:name="_Toc193999217"/>
      <w:bookmarkStart w:id="32" w:name="_Toc194008440"/>
      <w:bookmarkStart w:id="33" w:name="_Toc194008697"/>
      <w:bookmarkStart w:id="34" w:name="_Toc194009031"/>
      <w:r>
        <w:t>Immediately after joining the new serving</w:t>
      </w:r>
      <w:r w:rsidR="001C7304">
        <w:t xml:space="preserve"> satellite, handover is not expected and so is the measurement</w:t>
      </w:r>
      <w:r w:rsidR="008A74B9">
        <w:t xml:space="preserve">s of the </w:t>
      </w:r>
      <w:proofErr w:type="spellStart"/>
      <w:r w:rsidR="008A74B9">
        <w:t>neighbor</w:t>
      </w:r>
      <w:proofErr w:type="spellEnd"/>
      <w:r w:rsidR="008A74B9">
        <w:t xml:space="preserve"> cells</w:t>
      </w:r>
      <w:r w:rsidR="001C7304">
        <w:t>.</w:t>
      </w:r>
      <w:bookmarkEnd w:id="18"/>
      <w:bookmarkEnd w:id="19"/>
      <w:bookmarkEnd w:id="20"/>
      <w:bookmarkEnd w:id="21"/>
      <w:bookmarkEnd w:id="22"/>
      <w:bookmarkEnd w:id="23"/>
      <w:bookmarkEnd w:id="24"/>
      <w:r w:rsidR="00AA64D4">
        <w:t xml:space="preserve"> As </w:t>
      </w:r>
      <w:r w:rsidR="008A74B9">
        <w:t>exact time</w:t>
      </w:r>
      <w:r w:rsidR="00AA64D4">
        <w:t xml:space="preserve"> to acquire SIB19</w:t>
      </w:r>
      <w:r w:rsidR="2A4E7526">
        <w:t xml:space="preserve"> is left to UE</w:t>
      </w:r>
      <w:r w:rsidR="00AA64D4">
        <w:t xml:space="preserve">, </w:t>
      </w:r>
      <w:r w:rsidR="2600DA75">
        <w:t xml:space="preserve">the </w:t>
      </w:r>
      <w:r w:rsidR="00AA64D4">
        <w:t xml:space="preserve">UE may not immediately have up to date information of the </w:t>
      </w:r>
      <w:proofErr w:type="spellStart"/>
      <w:r w:rsidR="00AA64D4">
        <w:t>neighbor</w:t>
      </w:r>
      <w:proofErr w:type="spellEnd"/>
      <w:r w:rsidR="00AA64D4">
        <w:t xml:space="preserve"> satellites.</w:t>
      </w:r>
      <w:bookmarkEnd w:id="25"/>
      <w:bookmarkEnd w:id="26"/>
      <w:bookmarkEnd w:id="27"/>
      <w:bookmarkEnd w:id="28"/>
      <w:bookmarkEnd w:id="29"/>
      <w:bookmarkEnd w:id="30"/>
      <w:bookmarkEnd w:id="31"/>
      <w:bookmarkEnd w:id="32"/>
      <w:bookmarkEnd w:id="33"/>
      <w:bookmarkEnd w:id="34"/>
    </w:p>
    <w:p w14:paraId="56D453A3" w14:textId="4DE73739" w:rsidR="002F75ED" w:rsidRDefault="00350737" w:rsidP="00E86D4B">
      <w:r>
        <w:t>A</w:t>
      </w:r>
      <w:r w:rsidR="00930454">
        <w:t xml:space="preserve">fter connecting to the new satellite, </w:t>
      </w:r>
      <w:r w:rsidR="00DB4036">
        <w:t xml:space="preserve">(1) </w:t>
      </w:r>
      <w:r w:rsidR="008043A4">
        <w:t>the</w:t>
      </w:r>
      <w:r w:rsidR="0070368E">
        <w:t xml:space="preserve"> frame boundary </w:t>
      </w:r>
      <w:r w:rsidR="002E2534">
        <w:t xml:space="preserve">and SFN </w:t>
      </w:r>
      <w:r w:rsidR="00451D8E">
        <w:t>number is based on the SSB location in target satellite</w:t>
      </w:r>
      <w:r w:rsidR="0070368E">
        <w:t xml:space="preserve">, (2) </w:t>
      </w:r>
      <w:r w:rsidR="00930454">
        <w:t xml:space="preserve">the </w:t>
      </w:r>
      <w:proofErr w:type="spellStart"/>
      <w:r w:rsidR="00930454">
        <w:t>neighbor</w:t>
      </w:r>
      <w:proofErr w:type="spellEnd"/>
      <w:r w:rsidR="00930454">
        <w:t xml:space="preserve"> satellit</w:t>
      </w:r>
      <w:r w:rsidR="00847038">
        <w:t xml:space="preserve">e </w:t>
      </w:r>
      <w:r w:rsidR="005D1BAA">
        <w:t>may have gone</w:t>
      </w:r>
      <w:r w:rsidR="00847038">
        <w:t xml:space="preserve"> through the soft satellite switch procedure</w:t>
      </w:r>
      <w:r w:rsidR="005D1BAA">
        <w:t xml:space="preserve"> and stored list of </w:t>
      </w:r>
      <w:proofErr w:type="spellStart"/>
      <w:r w:rsidR="005D1BAA">
        <w:t>neighbor</w:t>
      </w:r>
      <w:proofErr w:type="spellEnd"/>
      <w:r w:rsidR="005D1BAA">
        <w:t xml:space="preserve"> satellite</w:t>
      </w:r>
      <w:r w:rsidR="3CB1BAB2">
        <w:t>s</w:t>
      </w:r>
      <w:r w:rsidR="005D1BAA">
        <w:t xml:space="preserve"> may not be useful for measurement</w:t>
      </w:r>
      <w:r w:rsidR="00DB4036">
        <w:t>, (</w:t>
      </w:r>
      <w:r w:rsidR="0070368E">
        <w:t>3</w:t>
      </w:r>
      <w:r w:rsidR="00DB4036">
        <w:t>) the exact time to acquire SIB</w:t>
      </w:r>
      <w:r w:rsidR="00116095">
        <w:t>19</w:t>
      </w:r>
      <w:r w:rsidR="00DB4036">
        <w:t xml:space="preserve"> for the new updated </w:t>
      </w:r>
      <w:proofErr w:type="spellStart"/>
      <w:r w:rsidR="00DB4036">
        <w:t>neighbor</w:t>
      </w:r>
      <w:proofErr w:type="spellEnd"/>
      <w:r w:rsidR="00DB4036">
        <w:t xml:space="preserve"> satellite information is up to UE</w:t>
      </w:r>
      <w:r w:rsidR="112BD626">
        <w:t xml:space="preserve"> and the UE may not be able to immediately start </w:t>
      </w:r>
      <w:proofErr w:type="spellStart"/>
      <w:r w:rsidR="112BD626">
        <w:t>neighbor</w:t>
      </w:r>
      <w:proofErr w:type="spellEnd"/>
      <w:r w:rsidR="112BD626">
        <w:t xml:space="preserve"> satellite measurements</w:t>
      </w:r>
      <w:r w:rsidR="00CC39EF">
        <w:t>, and</w:t>
      </w:r>
      <w:r w:rsidR="008043A4">
        <w:t xml:space="preserve"> (</w:t>
      </w:r>
      <w:r w:rsidR="0070368E">
        <w:t>4</w:t>
      </w:r>
      <w:r w:rsidR="008043A4">
        <w:t>) the</w:t>
      </w:r>
      <w:r w:rsidR="00CC39EF">
        <w:t xml:space="preserve"> </w:t>
      </w:r>
      <w:r w:rsidR="00A74F7D">
        <w:t xml:space="preserve">UE expects RRC reconfiguration </w:t>
      </w:r>
      <w:r w:rsidR="002A5C74">
        <w:t xml:space="preserve">as part of periodic </w:t>
      </w:r>
      <w:r w:rsidR="001459D0">
        <w:t>SMTC</w:t>
      </w:r>
      <w:r w:rsidR="002A5C74">
        <w:t xml:space="preserve"> update</w:t>
      </w:r>
      <w:r w:rsidR="001459D0">
        <w:t>.</w:t>
      </w:r>
    </w:p>
    <w:p w14:paraId="6C4E7632" w14:textId="6BB86AB4" w:rsidR="00785034" w:rsidRDefault="00702D84" w:rsidP="00E86D4B">
      <w:r>
        <w:t xml:space="preserve">Therefore, in our view, the existing procedure captured in the current specification for soft satellite switch with resync is sufficient </w:t>
      </w:r>
      <w:r w:rsidR="00785034">
        <w:t>and we suggest</w:t>
      </w:r>
      <w:r w:rsidR="0022704B">
        <w:t xml:space="preserve"> </w:t>
      </w:r>
      <w:r w:rsidR="00943E95">
        <w:t>sending</w:t>
      </w:r>
      <w:r w:rsidR="0022704B">
        <w:t xml:space="preserve"> LS response with the</w:t>
      </w:r>
      <w:r w:rsidR="00943E95">
        <w:t xml:space="preserve"> clarification.</w:t>
      </w:r>
    </w:p>
    <w:p w14:paraId="2B1EB5AB" w14:textId="157285E9" w:rsidR="00333AF2" w:rsidRPr="004F5E18" w:rsidRDefault="00503CBE" w:rsidP="004F5E18">
      <w:pPr>
        <w:pStyle w:val="Proposal"/>
        <w:numPr>
          <w:ilvl w:val="0"/>
          <w:numId w:val="37"/>
        </w:numPr>
        <w:rPr>
          <w:i/>
          <w:iCs/>
        </w:rPr>
      </w:pPr>
      <w:bookmarkStart w:id="35" w:name="_Toc192856886"/>
      <w:bookmarkStart w:id="36" w:name="_Toc192857141"/>
      <w:bookmarkStart w:id="37" w:name="_Toc192918832"/>
      <w:bookmarkStart w:id="38" w:name="_Toc193194628"/>
      <w:bookmarkStart w:id="39" w:name="_Toc193195027"/>
      <w:bookmarkStart w:id="40" w:name="_Toc193195102"/>
      <w:bookmarkStart w:id="41" w:name="_Toc193195139"/>
      <w:bookmarkStart w:id="42" w:name="_Toc193195645"/>
      <w:bookmarkStart w:id="43" w:name="_Toc193895423"/>
      <w:bookmarkStart w:id="44" w:name="_Toc193898161"/>
      <w:bookmarkStart w:id="45" w:name="_Toc193974233"/>
      <w:bookmarkStart w:id="46" w:name="_Toc193975970"/>
      <w:bookmarkStart w:id="47" w:name="_Toc193976214"/>
      <w:bookmarkStart w:id="48" w:name="_Toc193999120"/>
      <w:bookmarkStart w:id="49" w:name="_Toc193999218"/>
      <w:bookmarkStart w:id="50" w:name="_Toc194008441"/>
      <w:bookmarkStart w:id="51" w:name="_Toc194008698"/>
      <w:bookmarkStart w:id="52" w:name="_Toc194009032"/>
      <w:r>
        <w:t>RAN2 decides not to change the current specification</w:t>
      </w:r>
      <w:r w:rsidR="00653CB2">
        <w:t xml:space="preserve"> texts related to satellite switch with resynchronization feature</w:t>
      </w:r>
      <w:r w:rsidR="00321F5B" w:rsidRPr="004F5E18">
        <w:rPr>
          <w:i/>
          <w:iCs/>
        </w:rPr>
        <w: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36E3C5E" w14:textId="26AE9F83" w:rsidR="006E5628" w:rsidRDefault="002A5C74" w:rsidP="00333AF2">
      <w:pPr>
        <w:pStyle w:val="Proposal"/>
      </w:pPr>
      <w:bookmarkStart w:id="53" w:name="_Toc193195646"/>
      <w:bookmarkStart w:id="54" w:name="_Toc193895424"/>
      <w:bookmarkStart w:id="55" w:name="_Toc193898162"/>
      <w:bookmarkStart w:id="56" w:name="_Toc193974234"/>
      <w:bookmarkStart w:id="57" w:name="_Toc193975971"/>
      <w:bookmarkStart w:id="58" w:name="_Toc193976215"/>
      <w:bookmarkStart w:id="59" w:name="_Toc193999121"/>
      <w:bookmarkStart w:id="60" w:name="_Toc193999219"/>
      <w:bookmarkStart w:id="61" w:name="_Toc194008442"/>
      <w:bookmarkStart w:id="62" w:name="_Toc194008699"/>
      <w:bookmarkStart w:id="63" w:name="_Toc192856887"/>
      <w:bookmarkStart w:id="64" w:name="_Toc192857142"/>
      <w:bookmarkStart w:id="65" w:name="_Toc192918833"/>
      <w:bookmarkStart w:id="66" w:name="_Toc193194629"/>
      <w:bookmarkStart w:id="67" w:name="_Toc193195028"/>
      <w:bookmarkStart w:id="68" w:name="_Toc193195103"/>
      <w:bookmarkStart w:id="69" w:name="_Toc193195140"/>
      <w:bookmarkStart w:id="70" w:name="_Toc194009033"/>
      <w:r>
        <w:t>For measurements, clarify that</w:t>
      </w:r>
      <w:r w:rsidR="00333AF2">
        <w:t xml:space="preserve"> the</w:t>
      </w:r>
      <w:r w:rsidR="485BACDA">
        <w:t xml:space="preserve"> </w:t>
      </w:r>
      <w:r w:rsidR="485BACDA" w:rsidRPr="10B6CEDB">
        <w:rPr>
          <w:bCs/>
          <w:sz w:val="22"/>
          <w:szCs w:val="22"/>
        </w:rPr>
        <w:t xml:space="preserve">UE takes into account the fact that </w:t>
      </w:r>
      <w:r w:rsidR="00333AF2">
        <w:t>the exact time to acquire SIB</w:t>
      </w:r>
      <w:r w:rsidR="0069732A">
        <w:t>19</w:t>
      </w:r>
      <w:r w:rsidR="00333AF2">
        <w:t xml:space="preserve"> for the new updated </w:t>
      </w:r>
      <w:proofErr w:type="spellStart"/>
      <w:r w:rsidR="00333AF2">
        <w:t>neighbor</w:t>
      </w:r>
      <w:proofErr w:type="spellEnd"/>
      <w:r w:rsidR="00333AF2">
        <w:t xml:space="preserve"> satellite information is up to UE,</w:t>
      </w:r>
      <w:r w:rsidR="0069732A">
        <w:t xml:space="preserve"> the </w:t>
      </w:r>
      <w:proofErr w:type="spellStart"/>
      <w:r w:rsidR="0069732A">
        <w:t>neighbor</w:t>
      </w:r>
      <w:proofErr w:type="spellEnd"/>
      <w:r w:rsidR="0069732A">
        <w:t xml:space="preserve"> satellite may have gone through the soft satellite switch procedure and stored list of </w:t>
      </w:r>
      <w:proofErr w:type="spellStart"/>
      <w:r w:rsidR="0069732A">
        <w:t>neighbor</w:t>
      </w:r>
      <w:proofErr w:type="spellEnd"/>
      <w:r w:rsidR="0069732A">
        <w:t xml:space="preserve"> satellite may not be useful for measurement until new SIB19 is acquired,</w:t>
      </w:r>
      <w:r w:rsidR="00333AF2">
        <w:t xml:space="preserve"> </w:t>
      </w:r>
      <w:r w:rsidR="00FE7A13">
        <w:t xml:space="preserve">measurement for handover is not </w:t>
      </w:r>
      <w:r w:rsidR="00211156">
        <w:t>expected</w:t>
      </w:r>
      <w:r w:rsidR="009F03C9">
        <w:t xml:space="preserve"> immediately after joining the new satellite with full</w:t>
      </w:r>
      <w:r w:rsidR="000B52A4">
        <w:t xml:space="preserve"> </w:t>
      </w:r>
      <w:r w:rsidR="00211156">
        <w:t>remaining</w:t>
      </w:r>
      <w:r w:rsidR="009F03C9">
        <w:t xml:space="preserve"> service duration</w:t>
      </w:r>
      <w:r w:rsidR="006E5628">
        <w:t>.</w:t>
      </w:r>
      <w:bookmarkEnd w:id="53"/>
      <w:bookmarkEnd w:id="54"/>
      <w:bookmarkEnd w:id="55"/>
      <w:bookmarkEnd w:id="56"/>
      <w:bookmarkEnd w:id="57"/>
      <w:bookmarkEnd w:id="58"/>
      <w:bookmarkEnd w:id="59"/>
      <w:bookmarkEnd w:id="60"/>
      <w:bookmarkEnd w:id="61"/>
      <w:bookmarkEnd w:id="62"/>
      <w:bookmarkEnd w:id="70"/>
    </w:p>
    <w:p w14:paraId="512AA826" w14:textId="0121F433" w:rsidR="00333AF2" w:rsidRDefault="006D360B" w:rsidP="00333AF2">
      <w:pPr>
        <w:pStyle w:val="Proposal"/>
      </w:pPr>
      <w:bookmarkStart w:id="71" w:name="_Toc193195647"/>
      <w:bookmarkStart w:id="72" w:name="_Toc193895425"/>
      <w:bookmarkStart w:id="73" w:name="_Toc193898163"/>
      <w:bookmarkStart w:id="74" w:name="_Toc193974235"/>
      <w:bookmarkStart w:id="75" w:name="_Toc193975972"/>
      <w:bookmarkStart w:id="76" w:name="_Toc193976216"/>
      <w:bookmarkStart w:id="77" w:name="_Toc193999122"/>
      <w:bookmarkStart w:id="78" w:name="_Toc193999220"/>
      <w:bookmarkStart w:id="79" w:name="_Toc194008443"/>
      <w:bookmarkStart w:id="80" w:name="_Toc194008700"/>
      <w:bookmarkStart w:id="81" w:name="_Toc194009034"/>
      <w:r>
        <w:t>The UE</w:t>
      </w:r>
      <w:r w:rsidR="00FC6FA7">
        <w:t xml:space="preserve"> may still perform measurement</w:t>
      </w:r>
      <w:r w:rsidR="005C1919">
        <w:t xml:space="preserve"> with</w:t>
      </w:r>
      <w:r w:rsidR="00E7148A">
        <w:t xml:space="preserve"> the </w:t>
      </w:r>
      <w:r w:rsidR="11420C74">
        <w:t>configured</w:t>
      </w:r>
      <w:r w:rsidR="00E7148A">
        <w:t xml:space="preserve"> </w:t>
      </w:r>
      <w:proofErr w:type="gramStart"/>
      <w:r w:rsidR="00E7148A">
        <w:t>SMTC</w:t>
      </w:r>
      <w:proofErr w:type="gramEnd"/>
      <w:r w:rsidR="00E7148A">
        <w:t xml:space="preserve"> </w:t>
      </w:r>
      <w:r w:rsidR="00333AF2">
        <w:t xml:space="preserve">and the UE expects RRC reconfiguration </w:t>
      </w:r>
      <w:r w:rsidR="002A5C74">
        <w:t>as part of periodic</w:t>
      </w:r>
      <w:r w:rsidR="00333AF2">
        <w:t xml:space="preserve"> SMTC</w:t>
      </w:r>
      <w:r w:rsidR="002A5C74">
        <w:t xml:space="preserve"> update</w:t>
      </w:r>
      <w:r w:rsidR="7F3CAF39">
        <w:t xml:space="preserve"> same as in existing procedure</w:t>
      </w:r>
      <w:r w:rsidR="00333AF2">
        <w:t>.</w:t>
      </w:r>
      <w:bookmarkEnd w:id="63"/>
      <w:bookmarkEnd w:id="64"/>
      <w:bookmarkEnd w:id="65"/>
      <w:bookmarkEnd w:id="66"/>
      <w:bookmarkEnd w:id="67"/>
      <w:bookmarkEnd w:id="68"/>
      <w:bookmarkEnd w:id="69"/>
      <w:bookmarkEnd w:id="71"/>
      <w:bookmarkEnd w:id="72"/>
      <w:bookmarkEnd w:id="73"/>
      <w:bookmarkEnd w:id="74"/>
      <w:bookmarkEnd w:id="75"/>
      <w:bookmarkEnd w:id="76"/>
      <w:bookmarkEnd w:id="77"/>
      <w:bookmarkEnd w:id="78"/>
      <w:bookmarkEnd w:id="79"/>
      <w:bookmarkEnd w:id="80"/>
      <w:bookmarkEnd w:id="81"/>
    </w:p>
    <w:p w14:paraId="244FC38D" w14:textId="172D4D2B" w:rsidR="00000656" w:rsidRPr="004249B3" w:rsidRDefault="002A5C74" w:rsidP="00000656">
      <w:pPr>
        <w:pStyle w:val="Proposal"/>
      </w:pPr>
      <w:bookmarkStart w:id="82" w:name="_Toc192856888"/>
      <w:bookmarkStart w:id="83" w:name="_Toc192857143"/>
      <w:bookmarkStart w:id="84" w:name="_Toc192918834"/>
      <w:bookmarkStart w:id="85" w:name="_Toc193194630"/>
      <w:bookmarkStart w:id="86" w:name="_Toc193195029"/>
      <w:bookmarkStart w:id="87" w:name="_Toc193195104"/>
      <w:bookmarkStart w:id="88" w:name="_Toc193195141"/>
      <w:bookmarkStart w:id="89" w:name="_Toc193195648"/>
      <w:bookmarkStart w:id="90" w:name="_Toc193895426"/>
      <w:bookmarkStart w:id="91" w:name="_Toc193898164"/>
      <w:bookmarkStart w:id="92" w:name="_Toc193974236"/>
      <w:bookmarkStart w:id="93" w:name="_Toc193975973"/>
      <w:bookmarkStart w:id="94" w:name="_Toc193976217"/>
      <w:bookmarkStart w:id="95" w:name="_Toc193999123"/>
      <w:bookmarkStart w:id="96" w:name="_Toc193999221"/>
      <w:bookmarkStart w:id="97" w:name="_Toc194008444"/>
      <w:bookmarkStart w:id="98" w:name="_Toc194008701"/>
      <w:bookmarkStart w:id="99" w:name="_Toc194009035"/>
      <w:r>
        <w:lastRenderedPageBreak/>
        <w:t>Send LS response</w:t>
      </w:r>
      <w:r w:rsidR="004F5E18">
        <w:t xml:space="preserve"> to RAN1 and RAN4</w:t>
      </w:r>
      <w:r>
        <w:t xml:space="preserve"> with the </w:t>
      </w:r>
      <w:r w:rsidR="004F5E18">
        <w:t>above clarification</w:t>
      </w:r>
      <w:r>
        <w: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0256A7A" w14:textId="77777777" w:rsidR="00486AF4" w:rsidRDefault="00486AF4" w:rsidP="00E86D4B">
      <w:pPr>
        <w:rPr>
          <w:b/>
          <w:bCs/>
          <w:u w:val="single"/>
        </w:rPr>
      </w:pPr>
    </w:p>
    <w:p w14:paraId="6856C22B" w14:textId="72E27B24" w:rsidR="00593A48" w:rsidRPr="00776570" w:rsidRDefault="0094259D" w:rsidP="00E86D4B">
      <w:pPr>
        <w:rPr>
          <w:b/>
          <w:bCs/>
          <w:u w:val="single"/>
        </w:rPr>
      </w:pPr>
      <w:r w:rsidRPr="00776570">
        <w:rPr>
          <w:b/>
          <w:bCs/>
          <w:u w:val="single"/>
        </w:rPr>
        <w:t>Response to RAN1 and RAN4 questions</w:t>
      </w:r>
    </w:p>
    <w:p w14:paraId="558ECC22" w14:textId="48BCB759" w:rsidR="0094259D" w:rsidRDefault="0094259D" w:rsidP="00E86D4B">
      <w:r w:rsidRPr="0094259D">
        <w:t>We have als</w:t>
      </w:r>
      <w:r>
        <w:t xml:space="preserve">o received some questions from RAN4 </w:t>
      </w:r>
      <w:r w:rsidR="00A7404E">
        <w:t xml:space="preserve">in [1] </w:t>
      </w:r>
      <w:r>
        <w:t xml:space="preserve">and </w:t>
      </w:r>
      <w:r w:rsidR="00A7404E">
        <w:t xml:space="preserve">from </w:t>
      </w:r>
      <w:r>
        <w:t>RAN1</w:t>
      </w:r>
      <w:r w:rsidR="00A7404E">
        <w:t xml:space="preserve"> in [2].</w:t>
      </w:r>
    </w:p>
    <w:p w14:paraId="2CB32EB5" w14:textId="4CE13E18" w:rsidR="00776570" w:rsidRDefault="00776570" w:rsidP="00E86D4B">
      <w:r w:rsidRPr="00776570">
        <w:rPr>
          <w:noProof/>
        </w:rPr>
        <w:drawing>
          <wp:inline distT="0" distB="0" distL="0" distR="0" wp14:anchorId="78180119" wp14:editId="05E7AC83">
            <wp:extent cx="5923915" cy="430530"/>
            <wp:effectExtent l="0" t="0" r="635" b="7620"/>
            <wp:docPr id="11310244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024434" name=""/>
                    <pic:cNvPicPr/>
                  </pic:nvPicPr>
                  <pic:blipFill>
                    <a:blip r:embed="rId16"/>
                    <a:stretch>
                      <a:fillRect/>
                    </a:stretch>
                  </pic:blipFill>
                  <pic:spPr>
                    <a:xfrm>
                      <a:off x="0" y="0"/>
                      <a:ext cx="5923915" cy="430530"/>
                    </a:xfrm>
                    <a:prstGeom prst="rect">
                      <a:avLst/>
                    </a:prstGeom>
                  </pic:spPr>
                </pic:pic>
              </a:graphicData>
            </a:graphic>
          </wp:inline>
        </w:drawing>
      </w:r>
    </w:p>
    <w:p w14:paraId="4E3CF152" w14:textId="2E36622B" w:rsidR="00A7404E" w:rsidRDefault="003C4A46" w:rsidP="00E86D4B">
      <w:r>
        <w:t>As defined currently in the specification, the</w:t>
      </w:r>
      <w:r w:rsidR="00385208">
        <w:t xml:space="preserve"> offset of the</w:t>
      </w:r>
      <w:r>
        <w:t xml:space="preserve"> SSB of the target is </w:t>
      </w:r>
      <w:proofErr w:type="spellStart"/>
      <w:r w:rsidR="00521704" w:rsidRPr="00211156">
        <w:rPr>
          <w:i/>
          <w:iCs/>
        </w:rPr>
        <w:t>ssb-TimeOffset</w:t>
      </w:r>
      <w:proofErr w:type="spellEnd"/>
      <w:r w:rsidR="00521704" w:rsidRPr="00521704">
        <w:t xml:space="preserve"> </w:t>
      </w:r>
      <w:r w:rsidR="00385208">
        <w:t>from the SSB of the source</w:t>
      </w:r>
      <w:r w:rsidR="00521704">
        <w:t xml:space="preserve"> at Uplink Synchronization Reference point (ULSRP).</w:t>
      </w:r>
      <w:r w:rsidR="00973EF6">
        <w:t xml:space="preserve"> </w:t>
      </w:r>
      <w:r w:rsidR="0091069E">
        <w:t>T</w:t>
      </w:r>
      <w:r w:rsidR="006770D2">
        <w:t>he subframe boundaries of the source and target at ULSRP should align. The mapping of SSB to SFN</w:t>
      </w:r>
      <w:r w:rsidR="008D3A42">
        <w:t xml:space="preserve"> should not be changed for target satellite. Therefore, we propose to clarify this to RAN4. Draft is provided below.</w:t>
      </w:r>
    </w:p>
    <w:tbl>
      <w:tblPr>
        <w:tblStyle w:val="TableGrid"/>
        <w:tblW w:w="0" w:type="auto"/>
        <w:tblLook w:val="04A0" w:firstRow="1" w:lastRow="0" w:firstColumn="1" w:lastColumn="0" w:noHBand="0" w:noVBand="1"/>
      </w:tblPr>
      <w:tblGrid>
        <w:gridCol w:w="9319"/>
      </w:tblGrid>
      <w:tr w:rsidR="00776570" w14:paraId="49B984BD" w14:textId="77777777" w:rsidTr="00776570">
        <w:tc>
          <w:tcPr>
            <w:tcW w:w="9319" w:type="dxa"/>
          </w:tcPr>
          <w:p w14:paraId="6713C11C" w14:textId="7FFEBF24" w:rsidR="00235629" w:rsidRDefault="00235629" w:rsidP="00235629">
            <w:r>
              <w:t xml:space="preserve">In addition, RAN4 would like RAN2 to confirm which one of the following is the correct understanding of parameter </w:t>
            </w:r>
            <w:proofErr w:type="spellStart"/>
            <w:r>
              <w:t>ssb-TimeOffset</w:t>
            </w:r>
            <w:proofErr w:type="spellEnd"/>
            <w:r>
              <w:t xml:space="preserve">, </w:t>
            </w:r>
          </w:p>
          <w:p w14:paraId="7BE44CF9" w14:textId="317A8FE7" w:rsidR="00235629" w:rsidRDefault="00BD3675" w:rsidP="00BD3675">
            <w:pPr>
              <w:ind w:left="720"/>
            </w:pPr>
            <w:r>
              <w:t xml:space="preserve">- </w:t>
            </w:r>
            <w:r w:rsidR="00235629">
              <w:t>Option 1: the relative offset between the SSB of the source satellite and the SSB of the target satellite, and the starting boundaries of SFN0 of the source satellite and the target satellites are aligned at the uplink time synchronization reference point</w:t>
            </w:r>
          </w:p>
          <w:p w14:paraId="0069EBB1" w14:textId="05B9C203" w:rsidR="00235629" w:rsidRDefault="00BD3675" w:rsidP="00BD3675">
            <w:pPr>
              <w:ind w:left="720"/>
            </w:pPr>
            <w:r>
              <w:t xml:space="preserve">- </w:t>
            </w:r>
            <w:r w:rsidR="00235629">
              <w:t>Option 2: the relative offset between the starting boundaries of SFN0 of the source satellite and the target satellite</w:t>
            </w:r>
          </w:p>
          <w:p w14:paraId="258A67B6" w14:textId="09BC47CC" w:rsidR="00776570" w:rsidRDefault="00235629" w:rsidP="00235629">
            <w:r w:rsidRPr="00235629">
              <w:rPr>
                <w:b/>
                <w:bCs/>
              </w:rPr>
              <w:t>RAN2 Answer:</w:t>
            </w:r>
            <w:r>
              <w:t xml:space="preserve"> RAN2 thinks Option 2 is correct understanding and would like to clarify that the starting boundaries of subframes </w:t>
            </w:r>
            <w:r w:rsidR="00B86E8E">
              <w:t>o</w:t>
            </w:r>
            <w:r>
              <w:t xml:space="preserve">f source and target satellites are aligned at the Uplink Synchronization Reference Point (ULSRP). But starting boundaries of SFN 0 of the target satellite and (SFN 0 + </w:t>
            </w:r>
            <w:proofErr w:type="spellStart"/>
            <w:r w:rsidRPr="006058D0">
              <w:rPr>
                <w:i/>
                <w:iCs/>
              </w:rPr>
              <w:t>ssb-TimeOffset</w:t>
            </w:r>
            <w:proofErr w:type="spellEnd"/>
            <w:r>
              <w:t>) of the source satellite are aligned at ULSRP.</w:t>
            </w:r>
          </w:p>
        </w:tc>
      </w:tr>
    </w:tbl>
    <w:p w14:paraId="30C4286B" w14:textId="77777777" w:rsidR="008D3A42" w:rsidRDefault="008D3A42" w:rsidP="00E86D4B"/>
    <w:p w14:paraId="5AF913F8" w14:textId="0DE2262E" w:rsidR="002F5046" w:rsidRDefault="002F5046" w:rsidP="00E86D4B">
      <w:r>
        <w:t>Similarly, we can clarify to RAN1 that we do not expect any RAN1 specification change</w:t>
      </w:r>
      <w:r w:rsidR="000D4525">
        <w:t xml:space="preserve"> </w:t>
      </w:r>
      <w:proofErr w:type="gramStart"/>
      <w:r w:rsidR="000D4525">
        <w:t>as a result of</w:t>
      </w:r>
      <w:proofErr w:type="gramEnd"/>
      <w:r w:rsidR="000D4525">
        <w:t xml:space="preserve"> this solution. Draft is provided below.</w:t>
      </w:r>
    </w:p>
    <w:tbl>
      <w:tblPr>
        <w:tblStyle w:val="TableGrid"/>
        <w:tblW w:w="0" w:type="auto"/>
        <w:tblLook w:val="04A0" w:firstRow="1" w:lastRow="0" w:firstColumn="1" w:lastColumn="0" w:noHBand="0" w:noVBand="1"/>
      </w:tblPr>
      <w:tblGrid>
        <w:gridCol w:w="9319"/>
      </w:tblGrid>
      <w:tr w:rsidR="00BD3675" w14:paraId="17C44A92" w14:textId="77777777" w:rsidTr="00BD3675">
        <w:tc>
          <w:tcPr>
            <w:tcW w:w="9319" w:type="dxa"/>
          </w:tcPr>
          <w:p w14:paraId="75072E85" w14:textId="5C49B8CA" w:rsidR="00BD3675" w:rsidRDefault="00BD3675" w:rsidP="00BD3675">
            <w:r w:rsidRPr="00BD3675">
              <w:rPr>
                <w:b/>
                <w:bCs/>
              </w:rPr>
              <w:t>RAN1 Question:</w:t>
            </w:r>
            <w:r>
              <w:t xml:space="preserve"> Is RAN2 asking whether a Rel-18 UE (based on current Rel-18 RAN1 specifications) can maintain the pre-acquired DL synchronization started between [t-</w:t>
            </w:r>
            <w:proofErr w:type="spellStart"/>
            <w:r>
              <w:t>ServiceStart</w:t>
            </w:r>
            <w:proofErr w:type="spellEnd"/>
            <w:r>
              <w:t xml:space="preserve">, t-Service] with target satellite if the SSB pattern (e.g., SSB offset) is changed (determined by </w:t>
            </w:r>
            <w:proofErr w:type="spellStart"/>
            <w:r w:rsidRPr="00905F69">
              <w:rPr>
                <w:i/>
                <w:iCs/>
              </w:rPr>
              <w:t>ssb-TimeOffset</w:t>
            </w:r>
            <w:proofErr w:type="spellEnd"/>
            <w:r>
              <w:t>) at t-Service, or whether RAN2 assumes that some RAN1 specification work may be needed?</w:t>
            </w:r>
          </w:p>
          <w:p w14:paraId="2F908CD8" w14:textId="77777777" w:rsidR="00BD3675" w:rsidRDefault="00BD3675" w:rsidP="00BD3675">
            <w:pPr>
              <w:ind w:left="720"/>
            </w:pPr>
            <w:r w:rsidRPr="00BD3675">
              <w:rPr>
                <w:b/>
                <w:bCs/>
              </w:rPr>
              <w:t>RAN2 Answer:</w:t>
            </w:r>
            <w:r>
              <w:t xml:space="preserve"> RAN2 didn’t assume any RAN1 specification work is needed.</w:t>
            </w:r>
          </w:p>
          <w:p w14:paraId="312F14B9" w14:textId="04CCD887" w:rsidR="00BD3675" w:rsidRDefault="00BD3675" w:rsidP="00BD3675">
            <w:r w:rsidRPr="00BD3675">
              <w:rPr>
                <w:b/>
                <w:bCs/>
              </w:rPr>
              <w:t>RAN1 Question:</w:t>
            </w:r>
            <w:r>
              <w:t xml:space="preserve"> RAN1 assumes that the meaning of “the SSB pattern is changed” is that only the time offset is changed (may be determined by </w:t>
            </w:r>
            <w:proofErr w:type="spellStart"/>
            <w:r w:rsidRPr="00905F69">
              <w:rPr>
                <w:i/>
                <w:iCs/>
              </w:rPr>
              <w:t>ssb-TimeOffset</w:t>
            </w:r>
            <w:proofErr w:type="spellEnd"/>
            <w:r>
              <w:t>).</w:t>
            </w:r>
          </w:p>
          <w:p w14:paraId="763AC403" w14:textId="77777777" w:rsidR="00BD3675" w:rsidRDefault="00BD3675" w:rsidP="00BD3675">
            <w:pPr>
              <w:ind w:left="720"/>
            </w:pPr>
            <w:r w:rsidRPr="00BD3675">
              <w:rPr>
                <w:b/>
                <w:bCs/>
              </w:rPr>
              <w:t>RAN2 Answer:</w:t>
            </w:r>
            <w:r>
              <w:t xml:space="preserve"> RAN2 confirms that “the SSB pattern is changed” is that only the time offset determined by </w:t>
            </w:r>
            <w:proofErr w:type="spellStart"/>
            <w:r w:rsidRPr="00905F69">
              <w:rPr>
                <w:i/>
                <w:iCs/>
              </w:rPr>
              <w:t>ssb-TimeOffset</w:t>
            </w:r>
            <w:proofErr w:type="spellEnd"/>
            <w:r>
              <w:t xml:space="preserve"> is changed.</w:t>
            </w:r>
          </w:p>
          <w:p w14:paraId="5EE23111" w14:textId="033FBC67" w:rsidR="00BD3675" w:rsidRDefault="00BD3675" w:rsidP="00BD3675">
            <w:r w:rsidRPr="00BD3675">
              <w:rPr>
                <w:b/>
                <w:bCs/>
              </w:rPr>
              <w:t>RAN1 Question:</w:t>
            </w:r>
            <w:r>
              <w:t xml:space="preserve"> RAN1 assumes that the SIB19 of the source satellite includes ephemeris information of the target satellite, and that such information will not get outdated by the time the satellite switch occurs.</w:t>
            </w:r>
          </w:p>
          <w:p w14:paraId="3C3D53CA" w14:textId="26813B55" w:rsidR="00BD3675" w:rsidRDefault="00BD3675" w:rsidP="00BD3675">
            <w:pPr>
              <w:ind w:left="720"/>
            </w:pPr>
            <w:r w:rsidRPr="00BD3675">
              <w:rPr>
                <w:b/>
                <w:bCs/>
              </w:rPr>
              <w:t>RAN2 Answer:</w:t>
            </w:r>
            <w:r>
              <w:t xml:space="preserve"> RAN2 confirms that SIB19 of the source satellite provides the target satellite information with epoch time and validity duration based on the timing of the cell served by the source satellite.</w:t>
            </w:r>
          </w:p>
        </w:tc>
      </w:tr>
    </w:tbl>
    <w:p w14:paraId="1012749B" w14:textId="77777777" w:rsidR="000D4525" w:rsidRDefault="000D4525" w:rsidP="00E86D4B"/>
    <w:p w14:paraId="7F5A29ED" w14:textId="53896B53" w:rsidR="00905F69" w:rsidRDefault="00B86E8E" w:rsidP="00823DAE">
      <w:pPr>
        <w:pStyle w:val="Proposal"/>
      </w:pPr>
      <w:bookmarkStart w:id="100" w:name="_Toc193975974"/>
      <w:bookmarkStart w:id="101" w:name="_Toc193976218"/>
      <w:bookmarkStart w:id="102" w:name="_Toc193999124"/>
      <w:bookmarkStart w:id="103" w:name="_Toc193999222"/>
      <w:bookmarkStart w:id="104" w:name="_Toc194008445"/>
      <w:bookmarkStart w:id="105" w:name="_Toc194008702"/>
      <w:bookmarkStart w:id="106" w:name="_Toc194009036"/>
      <w:r>
        <w:lastRenderedPageBreak/>
        <w:t xml:space="preserve">In response to RAN4 question, RAN2 clarifies that the starting boundaries of subframes of source and target satellites are aligned at the Uplink Synchronization Reference Point (ULSRP) and starting boundaries of SFN 0 of the target satellite and (SFN 0 + </w:t>
      </w:r>
      <w:proofErr w:type="spellStart"/>
      <w:r w:rsidRPr="00823DAE">
        <w:rPr>
          <w:i/>
          <w:iCs/>
        </w:rPr>
        <w:t>ssb-TimeOffset</w:t>
      </w:r>
      <w:proofErr w:type="spellEnd"/>
      <w:r>
        <w:t>) of the source satellite are aligned at ULSRP</w:t>
      </w:r>
      <w:r w:rsidR="005946E6">
        <w:t>.</w:t>
      </w:r>
      <w:bookmarkEnd w:id="100"/>
      <w:bookmarkEnd w:id="101"/>
      <w:bookmarkEnd w:id="102"/>
      <w:bookmarkEnd w:id="103"/>
      <w:bookmarkEnd w:id="104"/>
      <w:bookmarkEnd w:id="105"/>
      <w:bookmarkEnd w:id="106"/>
    </w:p>
    <w:p w14:paraId="0F15D231" w14:textId="40B66F5C" w:rsidR="005946E6" w:rsidRPr="0094259D" w:rsidRDefault="005946E6" w:rsidP="00823DAE">
      <w:pPr>
        <w:pStyle w:val="Proposal"/>
      </w:pPr>
      <w:bookmarkStart w:id="107" w:name="_Toc193975975"/>
      <w:bookmarkStart w:id="108" w:name="_Toc193976219"/>
      <w:bookmarkStart w:id="109" w:name="_Toc193999125"/>
      <w:bookmarkStart w:id="110" w:name="_Toc193999223"/>
      <w:bookmarkStart w:id="111" w:name="_Toc194008446"/>
      <w:bookmarkStart w:id="112" w:name="_Toc194008703"/>
      <w:bookmarkStart w:id="113" w:name="_Toc194009037"/>
      <w:r>
        <w:t>In response to RAN1 question, clarify th</w:t>
      </w:r>
      <w:r w:rsidR="00087415">
        <w:t>at RAN2 didn’t assume any RAN1 specification work and confirm the understanding in second and thir</w:t>
      </w:r>
      <w:r w:rsidR="00823DAE">
        <w:t>d questions.</w:t>
      </w:r>
      <w:bookmarkEnd w:id="107"/>
      <w:bookmarkEnd w:id="108"/>
      <w:bookmarkEnd w:id="109"/>
      <w:bookmarkEnd w:id="110"/>
      <w:bookmarkEnd w:id="111"/>
      <w:bookmarkEnd w:id="112"/>
      <w:bookmarkEnd w:id="113"/>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0CB6ABEE" w14:textId="77777777" w:rsidR="00F6419C" w:rsidRDefault="00A81919">
      <w:pPr>
        <w:pStyle w:val="TOC1"/>
        <w:tabs>
          <w:tab w:val="left" w:pos="1680"/>
        </w:tabs>
        <w:rPr>
          <w:rFonts w:asciiTheme="minorHAnsi" w:eastAsiaTheme="minorEastAsia" w:hAnsiTheme="minorHAnsi" w:cstheme="minorBidi"/>
          <w:kern w:val="2"/>
          <w:sz w:val="24"/>
          <w:szCs w:val="24"/>
          <w:lang w:val="en-US"/>
          <w14:ligatures w14:val="standardContextual"/>
        </w:rPr>
      </w:pPr>
      <w:r>
        <w:lastRenderedPageBreak/>
        <w:fldChar w:fldCharType="begin"/>
      </w:r>
      <w:r>
        <w:instrText xml:space="preserve"> TOC \n \t "Proposal,1,Observation,1" </w:instrText>
      </w:r>
      <w:r>
        <w:fldChar w:fldCharType="separate"/>
      </w:r>
      <w:r w:rsidR="00F6419C" w:rsidRPr="005A6EE1">
        <w:rPr>
          <w:color w:val="000000"/>
        </w:rPr>
        <w:t>Observation 1.</w:t>
      </w:r>
      <w:r w:rsidR="00F6419C">
        <w:rPr>
          <w:rFonts w:asciiTheme="minorHAnsi" w:eastAsiaTheme="minorEastAsia" w:hAnsiTheme="minorHAnsi" w:cstheme="minorBidi"/>
          <w:kern w:val="2"/>
          <w:sz w:val="24"/>
          <w:szCs w:val="24"/>
          <w:lang w:val="en-US"/>
          <w14:ligatures w14:val="standardContextual"/>
        </w:rPr>
        <w:tab/>
      </w:r>
      <w:r w:rsidR="00F6419C">
        <w:t>In NTN, the propagation delay is inherently time variant. As shown in figure 1, the SMTC configuration needs to be updated by network periodically.</w:t>
      </w:r>
    </w:p>
    <w:p w14:paraId="56EE707F" w14:textId="77777777" w:rsidR="00F6419C" w:rsidRDefault="00F6419C">
      <w:pPr>
        <w:pStyle w:val="TOC1"/>
        <w:tabs>
          <w:tab w:val="left" w:pos="1680"/>
        </w:tabs>
        <w:rPr>
          <w:rFonts w:asciiTheme="minorHAnsi" w:eastAsiaTheme="minorEastAsia" w:hAnsiTheme="minorHAnsi" w:cstheme="minorBidi"/>
          <w:kern w:val="2"/>
          <w:sz w:val="24"/>
          <w:szCs w:val="24"/>
          <w:lang w:val="en-US"/>
          <w14:ligatures w14:val="standardContextual"/>
        </w:rPr>
      </w:pPr>
      <w:r w:rsidRPr="005A6EE1">
        <w:rPr>
          <w:color w:val="000000"/>
        </w:rPr>
        <w:t>Observation 2.</w:t>
      </w:r>
      <w:r>
        <w:rPr>
          <w:rFonts w:asciiTheme="minorHAnsi" w:eastAsiaTheme="minorEastAsia" w:hAnsiTheme="minorHAnsi" w:cstheme="minorBidi"/>
          <w:kern w:val="2"/>
          <w:sz w:val="24"/>
          <w:szCs w:val="24"/>
          <w:lang w:val="en-US"/>
          <w14:ligatures w14:val="standardContextual"/>
        </w:rPr>
        <w:tab/>
      </w:r>
      <w:r>
        <w:t>Immediately after joining the new serving satellite, handover is not expected and so is the measurements of the neighbor cells. As exact time to acquire SIB19 is left to UE, the UE may not immediately have up to date information of the neighbor satellites.</w:t>
      </w:r>
    </w:p>
    <w:p w14:paraId="145EAA55" w14:textId="77777777" w:rsidR="00F6419C" w:rsidRDefault="00F6419C">
      <w:pPr>
        <w:pStyle w:val="TOC1"/>
        <w:tabs>
          <w:tab w:val="left" w:pos="1200"/>
        </w:tabs>
        <w:rPr>
          <w:rFonts w:asciiTheme="minorHAnsi" w:eastAsiaTheme="minorEastAsia" w:hAnsiTheme="minorHAnsi" w:cstheme="minorBidi"/>
          <w:kern w:val="2"/>
          <w:sz w:val="24"/>
          <w:szCs w:val="24"/>
          <w:lang w:val="en-US"/>
          <w14:ligatures w14:val="standardContextual"/>
        </w:rPr>
      </w:pPr>
      <w:r>
        <w:t>Proposal 1</w:t>
      </w:r>
      <w:r>
        <w:rPr>
          <w:rFonts w:asciiTheme="minorHAnsi" w:eastAsiaTheme="minorEastAsia" w:hAnsiTheme="minorHAnsi" w:cstheme="minorBidi"/>
          <w:kern w:val="2"/>
          <w:sz w:val="24"/>
          <w:szCs w:val="24"/>
          <w:lang w:val="en-US"/>
          <w14:ligatures w14:val="standardContextual"/>
        </w:rPr>
        <w:tab/>
      </w:r>
      <w:r>
        <w:t>RAN2 decides not to change the current specification texts related to satellite switch with resynchronization feature</w:t>
      </w:r>
      <w:r w:rsidRPr="005A6EE1">
        <w:rPr>
          <w:i/>
          <w:iCs/>
        </w:rPr>
        <w:t>.</w:t>
      </w:r>
    </w:p>
    <w:p w14:paraId="0EB92B77" w14:textId="77777777" w:rsidR="00F6419C" w:rsidRDefault="00F6419C">
      <w:pPr>
        <w:pStyle w:val="TOC1"/>
        <w:tabs>
          <w:tab w:val="left" w:pos="1200"/>
        </w:tabs>
        <w:rPr>
          <w:rFonts w:asciiTheme="minorHAnsi" w:eastAsiaTheme="minorEastAsia" w:hAnsiTheme="minorHAnsi" w:cstheme="minorBidi"/>
          <w:kern w:val="2"/>
          <w:sz w:val="24"/>
          <w:szCs w:val="24"/>
          <w:lang w:val="en-US"/>
          <w14:ligatures w14:val="standardContextual"/>
        </w:rPr>
      </w:pPr>
      <w:r>
        <w:t>Proposal 2</w:t>
      </w:r>
      <w:r>
        <w:rPr>
          <w:rFonts w:asciiTheme="minorHAnsi" w:eastAsiaTheme="minorEastAsia" w:hAnsiTheme="minorHAnsi" w:cstheme="minorBidi"/>
          <w:kern w:val="2"/>
          <w:sz w:val="24"/>
          <w:szCs w:val="24"/>
          <w:lang w:val="en-US"/>
          <w14:ligatures w14:val="standardContextual"/>
        </w:rPr>
        <w:tab/>
      </w:r>
      <w:r>
        <w:t xml:space="preserve">For measurements, clarify that the </w:t>
      </w:r>
      <w:r w:rsidRPr="005A6EE1">
        <w:rPr>
          <w:bCs/>
        </w:rPr>
        <w:t xml:space="preserve">UE takes into account the fact that </w:t>
      </w:r>
      <w:r>
        <w:t>the exact time to acquire SIB19 for the new updated neighbor satellite information is up to UE, the neighbor satellite may have gone through the soft satellite switch procedure and stored list of neighbor satellite may not be useful for measurement until new SIB19 is acquired, measurement for handover is not expected immediately after joining the new satellite with full remaining service duration.</w:t>
      </w:r>
    </w:p>
    <w:p w14:paraId="70C52AA0" w14:textId="77777777" w:rsidR="00F6419C" w:rsidRDefault="00F6419C">
      <w:pPr>
        <w:pStyle w:val="TOC1"/>
        <w:tabs>
          <w:tab w:val="left" w:pos="1200"/>
        </w:tabs>
        <w:rPr>
          <w:rFonts w:asciiTheme="minorHAnsi" w:eastAsiaTheme="minorEastAsia" w:hAnsiTheme="minorHAnsi" w:cstheme="minorBidi"/>
          <w:kern w:val="2"/>
          <w:sz w:val="24"/>
          <w:szCs w:val="24"/>
          <w:lang w:val="en-US"/>
          <w14:ligatures w14:val="standardContextual"/>
        </w:rPr>
      </w:pPr>
      <w:r>
        <w:t>Proposal 3</w:t>
      </w:r>
      <w:r>
        <w:rPr>
          <w:rFonts w:asciiTheme="minorHAnsi" w:eastAsiaTheme="minorEastAsia" w:hAnsiTheme="minorHAnsi" w:cstheme="minorBidi"/>
          <w:kern w:val="2"/>
          <w:sz w:val="24"/>
          <w:szCs w:val="24"/>
          <w:lang w:val="en-US"/>
          <w14:ligatures w14:val="standardContextual"/>
        </w:rPr>
        <w:tab/>
      </w:r>
      <w:r>
        <w:t>The UE may still perform measurement with the configured SMTC and the UE expects RRC reconfiguration as part of periodic SMTC update same as in existing procedure.</w:t>
      </w:r>
    </w:p>
    <w:p w14:paraId="57013762" w14:textId="77777777" w:rsidR="00F6419C" w:rsidRDefault="00F6419C">
      <w:pPr>
        <w:pStyle w:val="TOC1"/>
        <w:tabs>
          <w:tab w:val="left" w:pos="1200"/>
        </w:tabs>
        <w:rPr>
          <w:rFonts w:asciiTheme="minorHAnsi" w:eastAsiaTheme="minorEastAsia" w:hAnsiTheme="minorHAnsi" w:cstheme="minorBidi"/>
          <w:kern w:val="2"/>
          <w:sz w:val="24"/>
          <w:szCs w:val="24"/>
          <w:lang w:val="en-US"/>
          <w14:ligatures w14:val="standardContextual"/>
        </w:rPr>
      </w:pPr>
      <w:r>
        <w:t>Proposal 4</w:t>
      </w:r>
      <w:r>
        <w:rPr>
          <w:rFonts w:asciiTheme="minorHAnsi" w:eastAsiaTheme="minorEastAsia" w:hAnsiTheme="minorHAnsi" w:cstheme="minorBidi"/>
          <w:kern w:val="2"/>
          <w:sz w:val="24"/>
          <w:szCs w:val="24"/>
          <w:lang w:val="en-US"/>
          <w14:ligatures w14:val="standardContextual"/>
        </w:rPr>
        <w:tab/>
      </w:r>
      <w:r>
        <w:t>Send LS response to RAN1 and RAN4 with the above clarification.</w:t>
      </w:r>
    </w:p>
    <w:p w14:paraId="64B67CCC" w14:textId="77777777" w:rsidR="00F6419C" w:rsidRDefault="00F6419C">
      <w:pPr>
        <w:pStyle w:val="TOC1"/>
        <w:tabs>
          <w:tab w:val="left" w:pos="1200"/>
        </w:tabs>
        <w:rPr>
          <w:rFonts w:asciiTheme="minorHAnsi" w:eastAsiaTheme="minorEastAsia" w:hAnsiTheme="minorHAnsi" w:cstheme="minorBidi"/>
          <w:kern w:val="2"/>
          <w:sz w:val="24"/>
          <w:szCs w:val="24"/>
          <w:lang w:val="en-US"/>
          <w14:ligatures w14:val="standardContextual"/>
        </w:rPr>
      </w:pPr>
      <w:r>
        <w:t>Proposal 5</w:t>
      </w:r>
      <w:r>
        <w:rPr>
          <w:rFonts w:asciiTheme="minorHAnsi" w:eastAsiaTheme="minorEastAsia" w:hAnsiTheme="minorHAnsi" w:cstheme="minorBidi"/>
          <w:kern w:val="2"/>
          <w:sz w:val="24"/>
          <w:szCs w:val="24"/>
          <w:lang w:val="en-US"/>
          <w14:ligatures w14:val="standardContextual"/>
        </w:rPr>
        <w:tab/>
      </w:r>
      <w:r>
        <w:t xml:space="preserve">In response to RAN4 question, RAN2 clarifies that the starting boundaries of subframes of source and target satellites are aligned at the Uplink Synchronization Reference Point (ULSRP) and starting boundaries of SFN 0 of the target satellite and (SFN 0 + </w:t>
      </w:r>
      <w:r w:rsidRPr="005A6EE1">
        <w:rPr>
          <w:i/>
          <w:iCs/>
        </w:rPr>
        <w:t>ssb-TimeOffset</w:t>
      </w:r>
      <w:r>
        <w:t>) of the source satellite are aligned at ULSRP.</w:t>
      </w:r>
    </w:p>
    <w:p w14:paraId="47DE81EA" w14:textId="77777777" w:rsidR="00F6419C" w:rsidRDefault="00F6419C">
      <w:pPr>
        <w:pStyle w:val="TOC1"/>
        <w:tabs>
          <w:tab w:val="left" w:pos="1200"/>
        </w:tabs>
        <w:rPr>
          <w:rFonts w:asciiTheme="minorHAnsi" w:eastAsiaTheme="minorEastAsia" w:hAnsiTheme="minorHAnsi" w:cstheme="minorBidi"/>
          <w:kern w:val="2"/>
          <w:sz w:val="24"/>
          <w:szCs w:val="24"/>
          <w:lang w:val="en-US"/>
          <w14:ligatures w14:val="standardContextual"/>
        </w:rPr>
      </w:pPr>
      <w:r>
        <w:t>Proposal 6</w:t>
      </w:r>
      <w:r>
        <w:rPr>
          <w:rFonts w:asciiTheme="minorHAnsi" w:eastAsiaTheme="minorEastAsia" w:hAnsiTheme="minorHAnsi" w:cstheme="minorBidi"/>
          <w:kern w:val="2"/>
          <w:sz w:val="24"/>
          <w:szCs w:val="24"/>
          <w:lang w:val="en-US"/>
          <w14:ligatures w14:val="standardContextual"/>
        </w:rPr>
        <w:tab/>
      </w:r>
      <w:r>
        <w:t>In response to RAN1 question, clarify that RAN2 didn’t assume any RAN1 specification work and confirm the understanding in second and third questions.</w:t>
      </w:r>
    </w:p>
    <w:p w14:paraId="572A2F30" w14:textId="3E2AC5C0" w:rsidR="002531E6" w:rsidRPr="00697DA1" w:rsidRDefault="00A81919" w:rsidP="00697DA1">
      <w:pPr>
        <w:pStyle w:val="Heading1"/>
        <w:numPr>
          <w:ilvl w:val="0"/>
          <w:numId w:val="6"/>
        </w:numPr>
        <w:pBdr>
          <w:top w:val="single" w:sz="12" w:space="2" w:color="auto"/>
        </w:pBdr>
        <w:tabs>
          <w:tab w:val="num" w:pos="720"/>
        </w:tabs>
        <w:ind w:left="720" w:hanging="720"/>
      </w:pPr>
      <w:r>
        <w:rPr>
          <w:noProof/>
          <w:sz w:val="22"/>
        </w:rPr>
        <w:fldChar w:fldCharType="end"/>
      </w:r>
      <w:r w:rsidR="00697DA1" w:rsidRPr="00697DA1">
        <w:t>Reference</w:t>
      </w:r>
    </w:p>
    <w:p w14:paraId="6E741317" w14:textId="4CFF0AB2" w:rsidR="00697DA1" w:rsidRDefault="00697DA1" w:rsidP="00697DA1">
      <w:r>
        <w:t xml:space="preserve">[1] </w:t>
      </w:r>
      <w:r w:rsidR="000D3FC6" w:rsidRPr="000D3FC6">
        <w:t>R2-2501741</w:t>
      </w:r>
      <w:r w:rsidR="0077694B">
        <w:t>, “</w:t>
      </w:r>
      <w:r w:rsidR="00DA3DD0" w:rsidRPr="00DA3DD0">
        <w:t>reply LS on soft satellite switch with re-sync</w:t>
      </w:r>
      <w:r w:rsidR="0077694B">
        <w:t>”, Source RAN4, To RAN2</w:t>
      </w:r>
      <w:r w:rsidR="000D3FC6">
        <w:t>, RAN1</w:t>
      </w:r>
    </w:p>
    <w:p w14:paraId="3333DC6F" w14:textId="2B1AEF90" w:rsidR="003701B1" w:rsidRPr="00697DA1" w:rsidRDefault="003701B1" w:rsidP="003701B1">
      <w:r>
        <w:t xml:space="preserve">[2] </w:t>
      </w:r>
      <w:r w:rsidR="00D24252" w:rsidRPr="00D24252">
        <w:t>R2-2501717</w:t>
      </w:r>
      <w:r>
        <w:t>, “</w:t>
      </w:r>
      <w:r w:rsidR="00880AE8" w:rsidRPr="00880AE8">
        <w:t>Reply LS on soft satellite switch with re-sync</w:t>
      </w:r>
      <w:r>
        <w:t>”, Source RAN1, To RAN2</w:t>
      </w:r>
    </w:p>
    <w:p w14:paraId="4D9A4AC9" w14:textId="77777777" w:rsidR="003701B1" w:rsidRPr="00697DA1" w:rsidRDefault="003701B1" w:rsidP="00697DA1"/>
    <w:sectPr w:rsidR="003701B1" w:rsidRPr="00697DA1" w:rsidSect="00DD4642">
      <w:footerReference w:type="default" r:id="rId1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53EB9" w14:textId="77777777" w:rsidR="000431DD" w:rsidRDefault="000431DD">
      <w:pPr>
        <w:spacing w:after="0"/>
      </w:pPr>
      <w:r>
        <w:separator/>
      </w:r>
    </w:p>
  </w:endnote>
  <w:endnote w:type="continuationSeparator" w:id="0">
    <w:p w14:paraId="7FFE7C23" w14:textId="77777777" w:rsidR="000431DD" w:rsidRDefault="000431DD">
      <w:pPr>
        <w:spacing w:after="0"/>
      </w:pPr>
      <w:r>
        <w:continuationSeparator/>
      </w:r>
    </w:p>
  </w:endnote>
  <w:endnote w:type="continuationNotice" w:id="1">
    <w:p w14:paraId="0A3A9844" w14:textId="77777777" w:rsidR="000431DD" w:rsidRDefault="000431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2256E" w14:textId="77777777" w:rsidR="000431DD" w:rsidRDefault="000431DD">
      <w:pPr>
        <w:spacing w:after="0"/>
      </w:pPr>
      <w:r>
        <w:separator/>
      </w:r>
    </w:p>
  </w:footnote>
  <w:footnote w:type="continuationSeparator" w:id="0">
    <w:p w14:paraId="0F192F8E" w14:textId="77777777" w:rsidR="000431DD" w:rsidRDefault="000431DD">
      <w:pPr>
        <w:spacing w:after="0"/>
      </w:pPr>
      <w:r>
        <w:continuationSeparator/>
      </w:r>
    </w:p>
  </w:footnote>
  <w:footnote w:type="continuationNotice" w:id="1">
    <w:p w14:paraId="079D90E8" w14:textId="77777777" w:rsidR="000431DD" w:rsidRDefault="000431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9F6C5F"/>
    <w:multiLevelType w:val="hybridMultilevel"/>
    <w:tmpl w:val="377C202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845E8E"/>
    <w:multiLevelType w:val="hybridMultilevel"/>
    <w:tmpl w:val="C49E8764"/>
    <w:lvl w:ilvl="0" w:tplc="6AC09F2C">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4B4D2C"/>
    <w:multiLevelType w:val="hybridMultilevel"/>
    <w:tmpl w:val="377C202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0A556B7"/>
    <w:multiLevelType w:val="multilevel"/>
    <w:tmpl w:val="FE4A2AB2"/>
    <w:lvl w:ilvl="0">
      <w:start w:val="1"/>
      <w:numFmt w:val="decimal"/>
      <w:pStyle w:val="Proposal"/>
      <w:lvlText w:val="Proposal %1"/>
      <w:lvlJc w:val="left"/>
      <w:pPr>
        <w:ind w:left="360" w:hanging="360"/>
      </w:pPr>
      <w:rPr>
        <w:rFonts w:hint="default"/>
        <w:i w:val="0"/>
        <w:iCs w:val="0"/>
      </w:rPr>
    </w:lvl>
    <w:lvl w:ilvl="1">
      <w:start w:val="1"/>
      <w:numFmt w:val="decimal"/>
      <w:lvlText w:val="%2."/>
      <w:lvlJc w:val="left"/>
      <w:pPr>
        <w:tabs>
          <w:tab w:val="num" w:pos="1440"/>
        </w:tabs>
        <w:ind w:left="1440" w:hanging="720"/>
      </w:pPr>
    </w:lvl>
    <w:lvl w:ilvl="2">
      <w:start w:val="1"/>
      <w:numFmt w:val="bullet"/>
      <w:lvlText w:val=""/>
      <w:lvlJc w:val="left"/>
      <w:pPr>
        <w:ind w:left="1800" w:hanging="360"/>
      </w:pPr>
      <w:rPr>
        <w:rFonts w:ascii="Symbol" w:hAnsi="Symbol"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6CD23DD"/>
    <w:multiLevelType w:val="hybridMultilevel"/>
    <w:tmpl w:val="D654D2D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C97C24"/>
    <w:multiLevelType w:val="hybridMultilevel"/>
    <w:tmpl w:val="B34C0610"/>
    <w:lvl w:ilvl="0" w:tplc="849E464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51F0114"/>
    <w:multiLevelType w:val="hybridMultilevel"/>
    <w:tmpl w:val="B9964B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3"/>
  </w:num>
  <w:num w:numId="2" w16cid:durableId="165562215">
    <w:abstractNumId w:val="26"/>
  </w:num>
  <w:num w:numId="3" w16cid:durableId="848328707">
    <w:abstractNumId w:val="2"/>
  </w:num>
  <w:num w:numId="4" w16cid:durableId="1457137946">
    <w:abstractNumId w:val="14"/>
  </w:num>
  <w:num w:numId="5" w16cid:durableId="1097747988">
    <w:abstractNumId w:val="26"/>
  </w:num>
  <w:num w:numId="6" w16cid:durableId="675621482">
    <w:abstractNumId w:val="11"/>
  </w:num>
  <w:num w:numId="7" w16cid:durableId="1304964842">
    <w:abstractNumId w:val="16"/>
  </w:num>
  <w:num w:numId="8" w16cid:durableId="125047382">
    <w:abstractNumId w:val="12"/>
  </w:num>
  <w:num w:numId="9" w16cid:durableId="269971381">
    <w:abstractNumId w:val="22"/>
  </w:num>
  <w:num w:numId="10" w16cid:durableId="1166480600">
    <w:abstractNumId w:val="7"/>
  </w:num>
  <w:num w:numId="11" w16cid:durableId="1899051820">
    <w:abstractNumId w:val="13"/>
  </w:num>
  <w:num w:numId="12" w16cid:durableId="1750300129">
    <w:abstractNumId w:val="15"/>
  </w:num>
  <w:num w:numId="13" w16cid:durableId="1246263475">
    <w:abstractNumId w:val="14"/>
  </w:num>
  <w:num w:numId="14" w16cid:durableId="1670326438">
    <w:abstractNumId w:val="14"/>
  </w:num>
  <w:num w:numId="15" w16cid:durableId="1185368059">
    <w:abstractNumId w:val="0"/>
  </w:num>
  <w:num w:numId="16" w16cid:durableId="680856319">
    <w:abstractNumId w:val="5"/>
  </w:num>
  <w:num w:numId="17" w16cid:durableId="1320383609">
    <w:abstractNumId w:val="4"/>
  </w:num>
  <w:num w:numId="18" w16cid:durableId="1506020440">
    <w:abstractNumId w:val="14"/>
  </w:num>
  <w:num w:numId="19" w16cid:durableId="1131437444">
    <w:abstractNumId w:val="21"/>
  </w:num>
  <w:num w:numId="20" w16cid:durableId="1554272510">
    <w:abstractNumId w:val="14"/>
  </w:num>
  <w:num w:numId="21" w16cid:durableId="2070877550">
    <w:abstractNumId w:val="24"/>
  </w:num>
  <w:num w:numId="22" w16cid:durableId="1726248054">
    <w:abstractNumId w:val="14"/>
  </w:num>
  <w:num w:numId="23" w16cid:durableId="611282159">
    <w:abstractNumId w:val="25"/>
  </w:num>
  <w:num w:numId="24" w16cid:durableId="1473984226">
    <w:abstractNumId w:val="9"/>
  </w:num>
  <w:num w:numId="25" w16cid:durableId="52776904">
    <w:abstractNumId w:val="14"/>
  </w:num>
  <w:num w:numId="26" w16cid:durableId="194077589">
    <w:abstractNumId w:val="14"/>
  </w:num>
  <w:num w:numId="27" w16cid:durableId="776409118">
    <w:abstractNumId w:val="10"/>
  </w:num>
  <w:num w:numId="28" w16cid:durableId="310793818">
    <w:abstractNumId w:val="17"/>
  </w:num>
  <w:num w:numId="29" w16cid:durableId="747120672">
    <w:abstractNumId w:val="18"/>
  </w:num>
  <w:num w:numId="30" w16cid:durableId="1374036934">
    <w:abstractNumId w:val="1"/>
  </w:num>
  <w:num w:numId="31" w16cid:durableId="1614707610">
    <w:abstractNumId w:val="8"/>
  </w:num>
  <w:num w:numId="32" w16cid:durableId="1769233614">
    <w:abstractNumId w:val="19"/>
  </w:num>
  <w:num w:numId="33" w16cid:durableId="1500078564">
    <w:abstractNumId w:val="6"/>
  </w:num>
  <w:num w:numId="34" w16cid:durableId="515313566">
    <w:abstractNumId w:val="23"/>
  </w:num>
  <w:num w:numId="35" w16cid:durableId="2127968217">
    <w:abstractNumId w:val="20"/>
  </w:num>
  <w:num w:numId="36" w16cid:durableId="15819126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785618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0656"/>
    <w:rsid w:val="00001A0A"/>
    <w:rsid w:val="00003FFA"/>
    <w:rsid w:val="00005A1F"/>
    <w:rsid w:val="00007A42"/>
    <w:rsid w:val="00010577"/>
    <w:rsid w:val="00011EA1"/>
    <w:rsid w:val="00020E79"/>
    <w:rsid w:val="0002101C"/>
    <w:rsid w:val="00024312"/>
    <w:rsid w:val="00035798"/>
    <w:rsid w:val="0003579E"/>
    <w:rsid w:val="00041601"/>
    <w:rsid w:val="00041A84"/>
    <w:rsid w:val="000431DD"/>
    <w:rsid w:val="000463C9"/>
    <w:rsid w:val="00054377"/>
    <w:rsid w:val="00067126"/>
    <w:rsid w:val="000730BA"/>
    <w:rsid w:val="00076F06"/>
    <w:rsid w:val="00077247"/>
    <w:rsid w:val="00081A28"/>
    <w:rsid w:val="000841DA"/>
    <w:rsid w:val="000855B8"/>
    <w:rsid w:val="00087415"/>
    <w:rsid w:val="000874CE"/>
    <w:rsid w:val="00087A9A"/>
    <w:rsid w:val="0009109E"/>
    <w:rsid w:val="000933B6"/>
    <w:rsid w:val="00094CA2"/>
    <w:rsid w:val="000957D6"/>
    <w:rsid w:val="00095B0E"/>
    <w:rsid w:val="000A1AC9"/>
    <w:rsid w:val="000B4525"/>
    <w:rsid w:val="000B4873"/>
    <w:rsid w:val="000B5286"/>
    <w:rsid w:val="000B52A4"/>
    <w:rsid w:val="000B79CE"/>
    <w:rsid w:val="000D2EA0"/>
    <w:rsid w:val="000D3707"/>
    <w:rsid w:val="000D3D32"/>
    <w:rsid w:val="000D3FC6"/>
    <w:rsid w:val="000D4525"/>
    <w:rsid w:val="000D51CD"/>
    <w:rsid w:val="000D7711"/>
    <w:rsid w:val="000E311F"/>
    <w:rsid w:val="000F2DCA"/>
    <w:rsid w:val="000F537B"/>
    <w:rsid w:val="00102DB7"/>
    <w:rsid w:val="00104FF6"/>
    <w:rsid w:val="00105EBB"/>
    <w:rsid w:val="00110DCF"/>
    <w:rsid w:val="00110FA1"/>
    <w:rsid w:val="001120ED"/>
    <w:rsid w:val="00116095"/>
    <w:rsid w:val="00121D6B"/>
    <w:rsid w:val="00123097"/>
    <w:rsid w:val="001252BA"/>
    <w:rsid w:val="00127178"/>
    <w:rsid w:val="00130122"/>
    <w:rsid w:val="001338B7"/>
    <w:rsid w:val="001340E3"/>
    <w:rsid w:val="00134B64"/>
    <w:rsid w:val="001459D0"/>
    <w:rsid w:val="00146B2F"/>
    <w:rsid w:val="00147207"/>
    <w:rsid w:val="00150E54"/>
    <w:rsid w:val="001547BE"/>
    <w:rsid w:val="0016005C"/>
    <w:rsid w:val="001618D1"/>
    <w:rsid w:val="00162617"/>
    <w:rsid w:val="00167EED"/>
    <w:rsid w:val="0017173E"/>
    <w:rsid w:val="001758EE"/>
    <w:rsid w:val="00177636"/>
    <w:rsid w:val="001855E9"/>
    <w:rsid w:val="001924A8"/>
    <w:rsid w:val="00192E2D"/>
    <w:rsid w:val="00197843"/>
    <w:rsid w:val="001A0825"/>
    <w:rsid w:val="001A3329"/>
    <w:rsid w:val="001B4BD4"/>
    <w:rsid w:val="001C0D36"/>
    <w:rsid w:val="001C6C80"/>
    <w:rsid w:val="001C7304"/>
    <w:rsid w:val="001C79A1"/>
    <w:rsid w:val="001D2A02"/>
    <w:rsid w:val="001D4933"/>
    <w:rsid w:val="001E3FE7"/>
    <w:rsid w:val="001F2277"/>
    <w:rsid w:val="001F705F"/>
    <w:rsid w:val="001F709D"/>
    <w:rsid w:val="00200750"/>
    <w:rsid w:val="00200CB4"/>
    <w:rsid w:val="00202C24"/>
    <w:rsid w:val="00203086"/>
    <w:rsid w:val="002040AD"/>
    <w:rsid w:val="00211156"/>
    <w:rsid w:val="00211D7C"/>
    <w:rsid w:val="00213891"/>
    <w:rsid w:val="002138E1"/>
    <w:rsid w:val="00214438"/>
    <w:rsid w:val="00215177"/>
    <w:rsid w:val="00222E1E"/>
    <w:rsid w:val="00224757"/>
    <w:rsid w:val="00226225"/>
    <w:rsid w:val="0022704B"/>
    <w:rsid w:val="00230B91"/>
    <w:rsid w:val="00234164"/>
    <w:rsid w:val="00235629"/>
    <w:rsid w:val="002413A0"/>
    <w:rsid w:val="00241E90"/>
    <w:rsid w:val="00245123"/>
    <w:rsid w:val="00247423"/>
    <w:rsid w:val="002531E6"/>
    <w:rsid w:val="00261A3D"/>
    <w:rsid w:val="0026765E"/>
    <w:rsid w:val="00272A69"/>
    <w:rsid w:val="00280CE9"/>
    <w:rsid w:val="002879E3"/>
    <w:rsid w:val="00291859"/>
    <w:rsid w:val="002954D8"/>
    <w:rsid w:val="00297FF8"/>
    <w:rsid w:val="002A0B22"/>
    <w:rsid w:val="002A0BF5"/>
    <w:rsid w:val="002A538D"/>
    <w:rsid w:val="002A57B4"/>
    <w:rsid w:val="002A5C74"/>
    <w:rsid w:val="002B0640"/>
    <w:rsid w:val="002B5593"/>
    <w:rsid w:val="002B73D8"/>
    <w:rsid w:val="002C08B1"/>
    <w:rsid w:val="002C247A"/>
    <w:rsid w:val="002C6B35"/>
    <w:rsid w:val="002C7B84"/>
    <w:rsid w:val="002D2F97"/>
    <w:rsid w:val="002D4724"/>
    <w:rsid w:val="002D6B09"/>
    <w:rsid w:val="002D7583"/>
    <w:rsid w:val="002D7705"/>
    <w:rsid w:val="002E1490"/>
    <w:rsid w:val="002E2534"/>
    <w:rsid w:val="002E505D"/>
    <w:rsid w:val="002F0BC7"/>
    <w:rsid w:val="002F0CA4"/>
    <w:rsid w:val="002F5046"/>
    <w:rsid w:val="002F66DE"/>
    <w:rsid w:val="002F75ED"/>
    <w:rsid w:val="002F7B7C"/>
    <w:rsid w:val="0032059F"/>
    <w:rsid w:val="00321F5B"/>
    <w:rsid w:val="00322FC7"/>
    <w:rsid w:val="00333AF2"/>
    <w:rsid w:val="00335664"/>
    <w:rsid w:val="00335E67"/>
    <w:rsid w:val="00336E47"/>
    <w:rsid w:val="00344C4B"/>
    <w:rsid w:val="00345033"/>
    <w:rsid w:val="00346EA7"/>
    <w:rsid w:val="00350737"/>
    <w:rsid w:val="00355001"/>
    <w:rsid w:val="00356604"/>
    <w:rsid w:val="00356D03"/>
    <w:rsid w:val="003608BF"/>
    <w:rsid w:val="003629D6"/>
    <w:rsid w:val="003631CC"/>
    <w:rsid w:val="00367E12"/>
    <w:rsid w:val="003701B1"/>
    <w:rsid w:val="00375CBF"/>
    <w:rsid w:val="003766BD"/>
    <w:rsid w:val="003809E1"/>
    <w:rsid w:val="003809E3"/>
    <w:rsid w:val="003837D3"/>
    <w:rsid w:val="00385208"/>
    <w:rsid w:val="0038771F"/>
    <w:rsid w:val="00391D29"/>
    <w:rsid w:val="00392739"/>
    <w:rsid w:val="0039578C"/>
    <w:rsid w:val="00397D2B"/>
    <w:rsid w:val="003A0A51"/>
    <w:rsid w:val="003A7325"/>
    <w:rsid w:val="003A75B4"/>
    <w:rsid w:val="003A7F98"/>
    <w:rsid w:val="003B12BC"/>
    <w:rsid w:val="003B3BF0"/>
    <w:rsid w:val="003C0ADF"/>
    <w:rsid w:val="003C263F"/>
    <w:rsid w:val="003C28EB"/>
    <w:rsid w:val="003C32BE"/>
    <w:rsid w:val="003C4A46"/>
    <w:rsid w:val="003C4A6F"/>
    <w:rsid w:val="003C6854"/>
    <w:rsid w:val="003D492B"/>
    <w:rsid w:val="003D614D"/>
    <w:rsid w:val="003E0075"/>
    <w:rsid w:val="003E0996"/>
    <w:rsid w:val="003E2543"/>
    <w:rsid w:val="003E3AF9"/>
    <w:rsid w:val="003E595D"/>
    <w:rsid w:val="003E5ADF"/>
    <w:rsid w:val="003E7FA6"/>
    <w:rsid w:val="003F35D9"/>
    <w:rsid w:val="003F4202"/>
    <w:rsid w:val="003F4986"/>
    <w:rsid w:val="003F5B15"/>
    <w:rsid w:val="003F60FE"/>
    <w:rsid w:val="003F7B7C"/>
    <w:rsid w:val="004015C0"/>
    <w:rsid w:val="0040555E"/>
    <w:rsid w:val="00406F55"/>
    <w:rsid w:val="00413B73"/>
    <w:rsid w:val="00414659"/>
    <w:rsid w:val="00417223"/>
    <w:rsid w:val="00417E6E"/>
    <w:rsid w:val="00421203"/>
    <w:rsid w:val="004249B3"/>
    <w:rsid w:val="0043054C"/>
    <w:rsid w:val="00431135"/>
    <w:rsid w:val="00435F5A"/>
    <w:rsid w:val="00440D89"/>
    <w:rsid w:val="00441EEB"/>
    <w:rsid w:val="004436C8"/>
    <w:rsid w:val="00443BA0"/>
    <w:rsid w:val="00443F5A"/>
    <w:rsid w:val="00444D56"/>
    <w:rsid w:val="00451D8E"/>
    <w:rsid w:val="00452885"/>
    <w:rsid w:val="00453B12"/>
    <w:rsid w:val="00453BEA"/>
    <w:rsid w:val="00457ADF"/>
    <w:rsid w:val="004601DB"/>
    <w:rsid w:val="00461244"/>
    <w:rsid w:val="00462E45"/>
    <w:rsid w:val="00475EE2"/>
    <w:rsid w:val="00481662"/>
    <w:rsid w:val="00486AF4"/>
    <w:rsid w:val="00491631"/>
    <w:rsid w:val="00491E57"/>
    <w:rsid w:val="00494994"/>
    <w:rsid w:val="0049738F"/>
    <w:rsid w:val="00497BBC"/>
    <w:rsid w:val="004A0679"/>
    <w:rsid w:val="004A1731"/>
    <w:rsid w:val="004A1B8A"/>
    <w:rsid w:val="004A70B4"/>
    <w:rsid w:val="004A76D5"/>
    <w:rsid w:val="004B2C2F"/>
    <w:rsid w:val="004B6A20"/>
    <w:rsid w:val="004C3083"/>
    <w:rsid w:val="004D03B3"/>
    <w:rsid w:val="004D1A5F"/>
    <w:rsid w:val="004E171E"/>
    <w:rsid w:val="004E1CF9"/>
    <w:rsid w:val="004E4061"/>
    <w:rsid w:val="004F2903"/>
    <w:rsid w:val="004F2F71"/>
    <w:rsid w:val="004F4B8E"/>
    <w:rsid w:val="004F59D6"/>
    <w:rsid w:val="004F5E18"/>
    <w:rsid w:val="004F665E"/>
    <w:rsid w:val="00503087"/>
    <w:rsid w:val="00503CBE"/>
    <w:rsid w:val="0052035D"/>
    <w:rsid w:val="00521704"/>
    <w:rsid w:val="00521DD3"/>
    <w:rsid w:val="005316FD"/>
    <w:rsid w:val="005322D1"/>
    <w:rsid w:val="005473B9"/>
    <w:rsid w:val="0055032C"/>
    <w:rsid w:val="00552136"/>
    <w:rsid w:val="00552A95"/>
    <w:rsid w:val="00556787"/>
    <w:rsid w:val="0056464A"/>
    <w:rsid w:val="00564DAA"/>
    <w:rsid w:val="00567739"/>
    <w:rsid w:val="00571885"/>
    <w:rsid w:val="00575B3D"/>
    <w:rsid w:val="00582962"/>
    <w:rsid w:val="00584906"/>
    <w:rsid w:val="005900AA"/>
    <w:rsid w:val="00590653"/>
    <w:rsid w:val="005920B0"/>
    <w:rsid w:val="005939B4"/>
    <w:rsid w:val="00593A48"/>
    <w:rsid w:val="005946E6"/>
    <w:rsid w:val="005A4488"/>
    <w:rsid w:val="005A4DD8"/>
    <w:rsid w:val="005A6301"/>
    <w:rsid w:val="005A663B"/>
    <w:rsid w:val="005B2476"/>
    <w:rsid w:val="005B6606"/>
    <w:rsid w:val="005B683B"/>
    <w:rsid w:val="005C1919"/>
    <w:rsid w:val="005C3338"/>
    <w:rsid w:val="005C4EDA"/>
    <w:rsid w:val="005C5690"/>
    <w:rsid w:val="005D1BAA"/>
    <w:rsid w:val="005D52C8"/>
    <w:rsid w:val="005D7334"/>
    <w:rsid w:val="005E1DCA"/>
    <w:rsid w:val="005E4F58"/>
    <w:rsid w:val="005E7835"/>
    <w:rsid w:val="005F3B03"/>
    <w:rsid w:val="005F5769"/>
    <w:rsid w:val="005F71C7"/>
    <w:rsid w:val="0060108D"/>
    <w:rsid w:val="00602809"/>
    <w:rsid w:val="00602C85"/>
    <w:rsid w:val="0060356D"/>
    <w:rsid w:val="006058D0"/>
    <w:rsid w:val="00613188"/>
    <w:rsid w:val="006163D5"/>
    <w:rsid w:val="0061704E"/>
    <w:rsid w:val="00617871"/>
    <w:rsid w:val="006324A9"/>
    <w:rsid w:val="00635E23"/>
    <w:rsid w:val="00640F25"/>
    <w:rsid w:val="00653CB2"/>
    <w:rsid w:val="0065741F"/>
    <w:rsid w:val="00660099"/>
    <w:rsid w:val="0066073A"/>
    <w:rsid w:val="00660C4C"/>
    <w:rsid w:val="00661AB9"/>
    <w:rsid w:val="006629B4"/>
    <w:rsid w:val="00672025"/>
    <w:rsid w:val="00673DAC"/>
    <w:rsid w:val="00674078"/>
    <w:rsid w:val="00674B5A"/>
    <w:rsid w:val="00674E3C"/>
    <w:rsid w:val="006770D2"/>
    <w:rsid w:val="00685D63"/>
    <w:rsid w:val="006961FB"/>
    <w:rsid w:val="0069732A"/>
    <w:rsid w:val="00697DA1"/>
    <w:rsid w:val="006A0605"/>
    <w:rsid w:val="006A1190"/>
    <w:rsid w:val="006A2196"/>
    <w:rsid w:val="006A2801"/>
    <w:rsid w:val="006A4146"/>
    <w:rsid w:val="006C0739"/>
    <w:rsid w:val="006C0A9B"/>
    <w:rsid w:val="006C5A76"/>
    <w:rsid w:val="006D0DA2"/>
    <w:rsid w:val="006D360B"/>
    <w:rsid w:val="006D3A76"/>
    <w:rsid w:val="006D5A22"/>
    <w:rsid w:val="006D6C11"/>
    <w:rsid w:val="006D750A"/>
    <w:rsid w:val="006E4B17"/>
    <w:rsid w:val="006E5628"/>
    <w:rsid w:val="006E6BAC"/>
    <w:rsid w:val="006F11C1"/>
    <w:rsid w:val="006F2C54"/>
    <w:rsid w:val="00701D46"/>
    <w:rsid w:val="00702D84"/>
    <w:rsid w:val="0070368E"/>
    <w:rsid w:val="007064FB"/>
    <w:rsid w:val="00706A4E"/>
    <w:rsid w:val="007119EB"/>
    <w:rsid w:val="007144AC"/>
    <w:rsid w:val="00714A33"/>
    <w:rsid w:val="007212F6"/>
    <w:rsid w:val="007246B3"/>
    <w:rsid w:val="00725A62"/>
    <w:rsid w:val="00727ECE"/>
    <w:rsid w:val="00731252"/>
    <w:rsid w:val="007334F6"/>
    <w:rsid w:val="0073386A"/>
    <w:rsid w:val="00735790"/>
    <w:rsid w:val="00736239"/>
    <w:rsid w:val="00741D32"/>
    <w:rsid w:val="00745D1A"/>
    <w:rsid w:val="007500D4"/>
    <w:rsid w:val="0075100A"/>
    <w:rsid w:val="0075382F"/>
    <w:rsid w:val="00761334"/>
    <w:rsid w:val="00763CEF"/>
    <w:rsid w:val="00764420"/>
    <w:rsid w:val="007645C4"/>
    <w:rsid w:val="007666EA"/>
    <w:rsid w:val="0076681A"/>
    <w:rsid w:val="00771069"/>
    <w:rsid w:val="00771DCF"/>
    <w:rsid w:val="0077220C"/>
    <w:rsid w:val="0077586D"/>
    <w:rsid w:val="00776570"/>
    <w:rsid w:val="0077694B"/>
    <w:rsid w:val="00777CBA"/>
    <w:rsid w:val="007834EA"/>
    <w:rsid w:val="00783B3E"/>
    <w:rsid w:val="00784D94"/>
    <w:rsid w:val="00785034"/>
    <w:rsid w:val="00785D78"/>
    <w:rsid w:val="007945AD"/>
    <w:rsid w:val="007964FD"/>
    <w:rsid w:val="00797FF8"/>
    <w:rsid w:val="007A1633"/>
    <w:rsid w:val="007A3F98"/>
    <w:rsid w:val="007A714C"/>
    <w:rsid w:val="007A7EFD"/>
    <w:rsid w:val="007B13EA"/>
    <w:rsid w:val="007B5ECF"/>
    <w:rsid w:val="007D6916"/>
    <w:rsid w:val="007E099C"/>
    <w:rsid w:val="007E1599"/>
    <w:rsid w:val="007E4FE5"/>
    <w:rsid w:val="007E5545"/>
    <w:rsid w:val="007E56F5"/>
    <w:rsid w:val="007F0F96"/>
    <w:rsid w:val="007F26E2"/>
    <w:rsid w:val="007F6D1C"/>
    <w:rsid w:val="008043A4"/>
    <w:rsid w:val="008065A2"/>
    <w:rsid w:val="00810FAE"/>
    <w:rsid w:val="008135B9"/>
    <w:rsid w:val="0081506E"/>
    <w:rsid w:val="008178E5"/>
    <w:rsid w:val="0082287F"/>
    <w:rsid w:val="00823DA1"/>
    <w:rsid w:val="00823DAE"/>
    <w:rsid w:val="0082466B"/>
    <w:rsid w:val="00827C38"/>
    <w:rsid w:val="00831AB1"/>
    <w:rsid w:val="008458BE"/>
    <w:rsid w:val="00847038"/>
    <w:rsid w:val="00851451"/>
    <w:rsid w:val="008549D2"/>
    <w:rsid w:val="0085616B"/>
    <w:rsid w:val="00860DFE"/>
    <w:rsid w:val="0086117A"/>
    <w:rsid w:val="00861806"/>
    <w:rsid w:val="00862891"/>
    <w:rsid w:val="00862ABC"/>
    <w:rsid w:val="008637C7"/>
    <w:rsid w:val="00870759"/>
    <w:rsid w:val="008708D5"/>
    <w:rsid w:val="008758EE"/>
    <w:rsid w:val="00876290"/>
    <w:rsid w:val="008776B3"/>
    <w:rsid w:val="00880AE8"/>
    <w:rsid w:val="00881498"/>
    <w:rsid w:val="008819D0"/>
    <w:rsid w:val="00882924"/>
    <w:rsid w:val="008875F3"/>
    <w:rsid w:val="00890801"/>
    <w:rsid w:val="008914B7"/>
    <w:rsid w:val="00891ED9"/>
    <w:rsid w:val="00895DE4"/>
    <w:rsid w:val="008A74B9"/>
    <w:rsid w:val="008B22C4"/>
    <w:rsid w:val="008B2A7B"/>
    <w:rsid w:val="008B3640"/>
    <w:rsid w:val="008C03D9"/>
    <w:rsid w:val="008C49D0"/>
    <w:rsid w:val="008C7584"/>
    <w:rsid w:val="008D0BF9"/>
    <w:rsid w:val="008D0F90"/>
    <w:rsid w:val="008D3A42"/>
    <w:rsid w:val="008D4177"/>
    <w:rsid w:val="008D78D4"/>
    <w:rsid w:val="008D7D8B"/>
    <w:rsid w:val="008E0CE1"/>
    <w:rsid w:val="008E2ED7"/>
    <w:rsid w:val="008E61CD"/>
    <w:rsid w:val="008F0BC7"/>
    <w:rsid w:val="008F278D"/>
    <w:rsid w:val="009010A2"/>
    <w:rsid w:val="0090270F"/>
    <w:rsid w:val="00905F05"/>
    <w:rsid w:val="00905F69"/>
    <w:rsid w:val="00906C68"/>
    <w:rsid w:val="00907CC9"/>
    <w:rsid w:val="0091069E"/>
    <w:rsid w:val="00917FA3"/>
    <w:rsid w:val="00930454"/>
    <w:rsid w:val="00930583"/>
    <w:rsid w:val="00933664"/>
    <w:rsid w:val="009362FF"/>
    <w:rsid w:val="0094259D"/>
    <w:rsid w:val="00943E95"/>
    <w:rsid w:val="009450D1"/>
    <w:rsid w:val="00951576"/>
    <w:rsid w:val="00952132"/>
    <w:rsid w:val="009550DF"/>
    <w:rsid w:val="00955651"/>
    <w:rsid w:val="00960531"/>
    <w:rsid w:val="00963F05"/>
    <w:rsid w:val="00972DB0"/>
    <w:rsid w:val="00973EF6"/>
    <w:rsid w:val="0097797C"/>
    <w:rsid w:val="00984DBA"/>
    <w:rsid w:val="00985A1C"/>
    <w:rsid w:val="0098774E"/>
    <w:rsid w:val="009918A7"/>
    <w:rsid w:val="0099657D"/>
    <w:rsid w:val="00996C0B"/>
    <w:rsid w:val="009A3CBC"/>
    <w:rsid w:val="009A7941"/>
    <w:rsid w:val="009B0575"/>
    <w:rsid w:val="009B297C"/>
    <w:rsid w:val="009B6889"/>
    <w:rsid w:val="009B7759"/>
    <w:rsid w:val="009B7F2C"/>
    <w:rsid w:val="009C07EB"/>
    <w:rsid w:val="009C33D7"/>
    <w:rsid w:val="009C4C15"/>
    <w:rsid w:val="009C52E2"/>
    <w:rsid w:val="009D2AE3"/>
    <w:rsid w:val="009D2D2A"/>
    <w:rsid w:val="009E1DEC"/>
    <w:rsid w:val="009E263F"/>
    <w:rsid w:val="009E27D7"/>
    <w:rsid w:val="009E4AB8"/>
    <w:rsid w:val="009F03C9"/>
    <w:rsid w:val="009F0C1A"/>
    <w:rsid w:val="009F0E52"/>
    <w:rsid w:val="009F1E60"/>
    <w:rsid w:val="009F2F12"/>
    <w:rsid w:val="009F385E"/>
    <w:rsid w:val="009F5DB5"/>
    <w:rsid w:val="00A042A7"/>
    <w:rsid w:val="00A069F4"/>
    <w:rsid w:val="00A10E9E"/>
    <w:rsid w:val="00A12158"/>
    <w:rsid w:val="00A142EB"/>
    <w:rsid w:val="00A14473"/>
    <w:rsid w:val="00A15862"/>
    <w:rsid w:val="00A15F1E"/>
    <w:rsid w:val="00A2162F"/>
    <w:rsid w:val="00A2227E"/>
    <w:rsid w:val="00A24D18"/>
    <w:rsid w:val="00A31787"/>
    <w:rsid w:val="00A32079"/>
    <w:rsid w:val="00A35DA4"/>
    <w:rsid w:val="00A367C4"/>
    <w:rsid w:val="00A40DAF"/>
    <w:rsid w:val="00A413AA"/>
    <w:rsid w:val="00A42D72"/>
    <w:rsid w:val="00A44556"/>
    <w:rsid w:val="00A509FA"/>
    <w:rsid w:val="00A519B8"/>
    <w:rsid w:val="00A57561"/>
    <w:rsid w:val="00A7127A"/>
    <w:rsid w:val="00A7404E"/>
    <w:rsid w:val="00A7483D"/>
    <w:rsid w:val="00A74F7D"/>
    <w:rsid w:val="00A757AC"/>
    <w:rsid w:val="00A81919"/>
    <w:rsid w:val="00A81C01"/>
    <w:rsid w:val="00A9111B"/>
    <w:rsid w:val="00AA22BD"/>
    <w:rsid w:val="00AA5F72"/>
    <w:rsid w:val="00AA64D4"/>
    <w:rsid w:val="00AB1175"/>
    <w:rsid w:val="00AB3A44"/>
    <w:rsid w:val="00AB401A"/>
    <w:rsid w:val="00AB5F35"/>
    <w:rsid w:val="00AC4C6B"/>
    <w:rsid w:val="00AC4FDB"/>
    <w:rsid w:val="00AC6A6E"/>
    <w:rsid w:val="00AD2BD6"/>
    <w:rsid w:val="00AD4152"/>
    <w:rsid w:val="00AD5255"/>
    <w:rsid w:val="00AD5C49"/>
    <w:rsid w:val="00AE24F5"/>
    <w:rsid w:val="00AE50B5"/>
    <w:rsid w:val="00AE63DF"/>
    <w:rsid w:val="00AF1906"/>
    <w:rsid w:val="00AF367E"/>
    <w:rsid w:val="00AF4610"/>
    <w:rsid w:val="00B01470"/>
    <w:rsid w:val="00B07E0C"/>
    <w:rsid w:val="00B124A8"/>
    <w:rsid w:val="00B12935"/>
    <w:rsid w:val="00B1449E"/>
    <w:rsid w:val="00B147AB"/>
    <w:rsid w:val="00B23074"/>
    <w:rsid w:val="00B23AEF"/>
    <w:rsid w:val="00B249C1"/>
    <w:rsid w:val="00B31D1C"/>
    <w:rsid w:val="00B31EEF"/>
    <w:rsid w:val="00B37A65"/>
    <w:rsid w:val="00B450B6"/>
    <w:rsid w:val="00B452DB"/>
    <w:rsid w:val="00B46A89"/>
    <w:rsid w:val="00B52D4F"/>
    <w:rsid w:val="00B539DC"/>
    <w:rsid w:val="00B55293"/>
    <w:rsid w:val="00B55AB2"/>
    <w:rsid w:val="00B55FC8"/>
    <w:rsid w:val="00B71C6D"/>
    <w:rsid w:val="00B75C1A"/>
    <w:rsid w:val="00B80692"/>
    <w:rsid w:val="00B81D9C"/>
    <w:rsid w:val="00B85A77"/>
    <w:rsid w:val="00B86E8E"/>
    <w:rsid w:val="00B92712"/>
    <w:rsid w:val="00B96C46"/>
    <w:rsid w:val="00B976F4"/>
    <w:rsid w:val="00B97E70"/>
    <w:rsid w:val="00BA59FF"/>
    <w:rsid w:val="00BA7102"/>
    <w:rsid w:val="00BB00E3"/>
    <w:rsid w:val="00BB67D6"/>
    <w:rsid w:val="00BB7295"/>
    <w:rsid w:val="00BC0D83"/>
    <w:rsid w:val="00BC4C81"/>
    <w:rsid w:val="00BC5A66"/>
    <w:rsid w:val="00BC7B0C"/>
    <w:rsid w:val="00BD180E"/>
    <w:rsid w:val="00BD1CDB"/>
    <w:rsid w:val="00BD2889"/>
    <w:rsid w:val="00BD3675"/>
    <w:rsid w:val="00BD5264"/>
    <w:rsid w:val="00BD6B8D"/>
    <w:rsid w:val="00BE2218"/>
    <w:rsid w:val="00BE3E8F"/>
    <w:rsid w:val="00BE5C8D"/>
    <w:rsid w:val="00BE5DDC"/>
    <w:rsid w:val="00BE64BF"/>
    <w:rsid w:val="00BF00CC"/>
    <w:rsid w:val="00BF046B"/>
    <w:rsid w:val="00BF0823"/>
    <w:rsid w:val="00BF3B46"/>
    <w:rsid w:val="00BF51C7"/>
    <w:rsid w:val="00BF70CD"/>
    <w:rsid w:val="00C01766"/>
    <w:rsid w:val="00C077E8"/>
    <w:rsid w:val="00C1362B"/>
    <w:rsid w:val="00C14693"/>
    <w:rsid w:val="00C16755"/>
    <w:rsid w:val="00C17A06"/>
    <w:rsid w:val="00C17BE7"/>
    <w:rsid w:val="00C25E55"/>
    <w:rsid w:val="00C338C1"/>
    <w:rsid w:val="00C34818"/>
    <w:rsid w:val="00C354D6"/>
    <w:rsid w:val="00C37189"/>
    <w:rsid w:val="00C37BEF"/>
    <w:rsid w:val="00C459B4"/>
    <w:rsid w:val="00C523B8"/>
    <w:rsid w:val="00C541F8"/>
    <w:rsid w:val="00C55240"/>
    <w:rsid w:val="00C56DB2"/>
    <w:rsid w:val="00C6229A"/>
    <w:rsid w:val="00C62C52"/>
    <w:rsid w:val="00C64588"/>
    <w:rsid w:val="00C67AD8"/>
    <w:rsid w:val="00C72A15"/>
    <w:rsid w:val="00C73B23"/>
    <w:rsid w:val="00C740E7"/>
    <w:rsid w:val="00C75B4E"/>
    <w:rsid w:val="00C75EFB"/>
    <w:rsid w:val="00C7659B"/>
    <w:rsid w:val="00C8119B"/>
    <w:rsid w:val="00C95AE4"/>
    <w:rsid w:val="00CA4CE9"/>
    <w:rsid w:val="00CB3C4B"/>
    <w:rsid w:val="00CB4CDC"/>
    <w:rsid w:val="00CB4D23"/>
    <w:rsid w:val="00CB5D3F"/>
    <w:rsid w:val="00CC39EF"/>
    <w:rsid w:val="00CC79CB"/>
    <w:rsid w:val="00CD5257"/>
    <w:rsid w:val="00CD54F4"/>
    <w:rsid w:val="00CE2097"/>
    <w:rsid w:val="00CE2985"/>
    <w:rsid w:val="00CE7977"/>
    <w:rsid w:val="00CF0764"/>
    <w:rsid w:val="00CF3D2B"/>
    <w:rsid w:val="00D00165"/>
    <w:rsid w:val="00D0094C"/>
    <w:rsid w:val="00D04D39"/>
    <w:rsid w:val="00D060EC"/>
    <w:rsid w:val="00D07073"/>
    <w:rsid w:val="00D2317F"/>
    <w:rsid w:val="00D235D9"/>
    <w:rsid w:val="00D24252"/>
    <w:rsid w:val="00D2481D"/>
    <w:rsid w:val="00D25EB7"/>
    <w:rsid w:val="00D32B41"/>
    <w:rsid w:val="00D369E4"/>
    <w:rsid w:val="00D41FDE"/>
    <w:rsid w:val="00D4613B"/>
    <w:rsid w:val="00D54698"/>
    <w:rsid w:val="00D54CCD"/>
    <w:rsid w:val="00D665A3"/>
    <w:rsid w:val="00D67E70"/>
    <w:rsid w:val="00D70518"/>
    <w:rsid w:val="00D74B12"/>
    <w:rsid w:val="00D75361"/>
    <w:rsid w:val="00D801C5"/>
    <w:rsid w:val="00D84449"/>
    <w:rsid w:val="00D94D38"/>
    <w:rsid w:val="00D94F46"/>
    <w:rsid w:val="00DA30C0"/>
    <w:rsid w:val="00DA3DD0"/>
    <w:rsid w:val="00DA52CA"/>
    <w:rsid w:val="00DB0B55"/>
    <w:rsid w:val="00DB29E3"/>
    <w:rsid w:val="00DB3BEA"/>
    <w:rsid w:val="00DB4036"/>
    <w:rsid w:val="00DC2674"/>
    <w:rsid w:val="00DC4C53"/>
    <w:rsid w:val="00DC6D4B"/>
    <w:rsid w:val="00DD08BD"/>
    <w:rsid w:val="00DD2260"/>
    <w:rsid w:val="00DD2504"/>
    <w:rsid w:val="00DD434C"/>
    <w:rsid w:val="00DD4642"/>
    <w:rsid w:val="00DD5C6B"/>
    <w:rsid w:val="00DD6B41"/>
    <w:rsid w:val="00DD7573"/>
    <w:rsid w:val="00DD7A63"/>
    <w:rsid w:val="00DE2585"/>
    <w:rsid w:val="00DE6A6A"/>
    <w:rsid w:val="00DE6B75"/>
    <w:rsid w:val="00DF3A50"/>
    <w:rsid w:val="00DF3E4D"/>
    <w:rsid w:val="00DF63F2"/>
    <w:rsid w:val="00DF6B0D"/>
    <w:rsid w:val="00E003A2"/>
    <w:rsid w:val="00E00F93"/>
    <w:rsid w:val="00E03D39"/>
    <w:rsid w:val="00E0780B"/>
    <w:rsid w:val="00E13306"/>
    <w:rsid w:val="00E26B19"/>
    <w:rsid w:val="00E275BC"/>
    <w:rsid w:val="00E27E2A"/>
    <w:rsid w:val="00E30B0F"/>
    <w:rsid w:val="00E357F5"/>
    <w:rsid w:val="00E4056F"/>
    <w:rsid w:val="00E41273"/>
    <w:rsid w:val="00E42973"/>
    <w:rsid w:val="00E445DB"/>
    <w:rsid w:val="00E4647A"/>
    <w:rsid w:val="00E51F31"/>
    <w:rsid w:val="00E61C7E"/>
    <w:rsid w:val="00E636A2"/>
    <w:rsid w:val="00E673C7"/>
    <w:rsid w:val="00E67607"/>
    <w:rsid w:val="00E67F43"/>
    <w:rsid w:val="00E7148A"/>
    <w:rsid w:val="00E74B59"/>
    <w:rsid w:val="00E75D75"/>
    <w:rsid w:val="00E76B44"/>
    <w:rsid w:val="00E868A4"/>
    <w:rsid w:val="00E86D4B"/>
    <w:rsid w:val="00E902FC"/>
    <w:rsid w:val="00E90E7C"/>
    <w:rsid w:val="00E932A5"/>
    <w:rsid w:val="00E95CA5"/>
    <w:rsid w:val="00E95E3D"/>
    <w:rsid w:val="00E96AFC"/>
    <w:rsid w:val="00EA0AE4"/>
    <w:rsid w:val="00EA1731"/>
    <w:rsid w:val="00EA4214"/>
    <w:rsid w:val="00EA7893"/>
    <w:rsid w:val="00EB0C65"/>
    <w:rsid w:val="00EB45B9"/>
    <w:rsid w:val="00EB5572"/>
    <w:rsid w:val="00EB646A"/>
    <w:rsid w:val="00EC0AE5"/>
    <w:rsid w:val="00EC0ED8"/>
    <w:rsid w:val="00EC59C1"/>
    <w:rsid w:val="00EE134A"/>
    <w:rsid w:val="00EE2A27"/>
    <w:rsid w:val="00EE36C6"/>
    <w:rsid w:val="00EE47B1"/>
    <w:rsid w:val="00EE4BBD"/>
    <w:rsid w:val="00EE599D"/>
    <w:rsid w:val="00EF538D"/>
    <w:rsid w:val="00F039A2"/>
    <w:rsid w:val="00F05A56"/>
    <w:rsid w:val="00F071A5"/>
    <w:rsid w:val="00F118D4"/>
    <w:rsid w:val="00F14656"/>
    <w:rsid w:val="00F22354"/>
    <w:rsid w:val="00F22716"/>
    <w:rsid w:val="00F23E84"/>
    <w:rsid w:val="00F3C517"/>
    <w:rsid w:val="00F5358A"/>
    <w:rsid w:val="00F54748"/>
    <w:rsid w:val="00F6419C"/>
    <w:rsid w:val="00F7032F"/>
    <w:rsid w:val="00F7407D"/>
    <w:rsid w:val="00F7734E"/>
    <w:rsid w:val="00F8598B"/>
    <w:rsid w:val="00F90A7A"/>
    <w:rsid w:val="00F90B86"/>
    <w:rsid w:val="00F9670D"/>
    <w:rsid w:val="00FA33E0"/>
    <w:rsid w:val="00FA37CB"/>
    <w:rsid w:val="00FA51A7"/>
    <w:rsid w:val="00FB1C0E"/>
    <w:rsid w:val="00FB4FDF"/>
    <w:rsid w:val="00FB5AAE"/>
    <w:rsid w:val="00FB757E"/>
    <w:rsid w:val="00FC5386"/>
    <w:rsid w:val="00FC5DA6"/>
    <w:rsid w:val="00FC6AE7"/>
    <w:rsid w:val="00FC6FA7"/>
    <w:rsid w:val="00FE2785"/>
    <w:rsid w:val="00FE2F4F"/>
    <w:rsid w:val="00FE3925"/>
    <w:rsid w:val="00FE5DDD"/>
    <w:rsid w:val="00FE7A13"/>
    <w:rsid w:val="00FE7D4F"/>
    <w:rsid w:val="00FF2AC5"/>
    <w:rsid w:val="00FF58E9"/>
    <w:rsid w:val="00FF6BD8"/>
    <w:rsid w:val="00FF6FBC"/>
    <w:rsid w:val="0200B03C"/>
    <w:rsid w:val="02890A85"/>
    <w:rsid w:val="03403A4C"/>
    <w:rsid w:val="048BF0B6"/>
    <w:rsid w:val="060B9406"/>
    <w:rsid w:val="081BA68A"/>
    <w:rsid w:val="08245C33"/>
    <w:rsid w:val="08E160D8"/>
    <w:rsid w:val="090FA621"/>
    <w:rsid w:val="09C0DCE8"/>
    <w:rsid w:val="0F5B3D8B"/>
    <w:rsid w:val="100CDD94"/>
    <w:rsid w:val="10B6CEDB"/>
    <w:rsid w:val="112BD626"/>
    <w:rsid w:val="11420C74"/>
    <w:rsid w:val="11DB68CB"/>
    <w:rsid w:val="15234A79"/>
    <w:rsid w:val="15BA7541"/>
    <w:rsid w:val="16F5EEFB"/>
    <w:rsid w:val="17DEE980"/>
    <w:rsid w:val="185F60B4"/>
    <w:rsid w:val="18BECCD2"/>
    <w:rsid w:val="196C41D4"/>
    <w:rsid w:val="1982D254"/>
    <w:rsid w:val="20138D5A"/>
    <w:rsid w:val="21BFB34A"/>
    <w:rsid w:val="23FCD4BB"/>
    <w:rsid w:val="2600DA75"/>
    <w:rsid w:val="28D88C1F"/>
    <w:rsid w:val="2969685A"/>
    <w:rsid w:val="2A4E7526"/>
    <w:rsid w:val="2BB2309A"/>
    <w:rsid w:val="31CD38C3"/>
    <w:rsid w:val="32DFE2A9"/>
    <w:rsid w:val="32EDFC7D"/>
    <w:rsid w:val="33D6F895"/>
    <w:rsid w:val="3421CE87"/>
    <w:rsid w:val="36546B6F"/>
    <w:rsid w:val="3692C787"/>
    <w:rsid w:val="369E5DE4"/>
    <w:rsid w:val="3818E6B1"/>
    <w:rsid w:val="38D724B7"/>
    <w:rsid w:val="3B5305F2"/>
    <w:rsid w:val="3C275D13"/>
    <w:rsid w:val="3CB1BAB2"/>
    <w:rsid w:val="3FCBD0A6"/>
    <w:rsid w:val="40BE6502"/>
    <w:rsid w:val="423268FB"/>
    <w:rsid w:val="43ECF1FA"/>
    <w:rsid w:val="46221458"/>
    <w:rsid w:val="46BA79B4"/>
    <w:rsid w:val="485BACDA"/>
    <w:rsid w:val="48B3DFFD"/>
    <w:rsid w:val="4D71DC38"/>
    <w:rsid w:val="4F32BD3F"/>
    <w:rsid w:val="4F7CAC67"/>
    <w:rsid w:val="4F90B789"/>
    <w:rsid w:val="51FF2E38"/>
    <w:rsid w:val="52DB2419"/>
    <w:rsid w:val="5ACC2F58"/>
    <w:rsid w:val="63C907FA"/>
    <w:rsid w:val="653CC18D"/>
    <w:rsid w:val="6F6D4ACA"/>
    <w:rsid w:val="70033E4B"/>
    <w:rsid w:val="70ACD744"/>
    <w:rsid w:val="712F925E"/>
    <w:rsid w:val="71EEB9D5"/>
    <w:rsid w:val="7787360E"/>
    <w:rsid w:val="78DC8957"/>
    <w:rsid w:val="7B5C2490"/>
    <w:rsid w:val="7F3CAF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C478904"/>
  <w15:chartTrackingRefBased/>
  <w15:docId w15:val="{BB7D0DB5-4395-4CDB-BECA-E55CB3E13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qFormat/>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3F4986"/>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39"/>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BF0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BF046B"/>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styleId="Header">
    <w:name w:val="header"/>
    <w:basedOn w:val="Normal"/>
    <w:link w:val="HeaderChar"/>
    <w:uiPriority w:val="99"/>
    <w:semiHidden/>
    <w:unhideWhenUsed/>
    <w:rsid w:val="009362FF"/>
    <w:pPr>
      <w:tabs>
        <w:tab w:val="center" w:pos="4680"/>
        <w:tab w:val="right" w:pos="9360"/>
      </w:tabs>
      <w:spacing w:after="0"/>
    </w:pPr>
  </w:style>
  <w:style w:type="character" w:customStyle="1" w:styleId="HeaderChar">
    <w:name w:val="Header Char"/>
    <w:basedOn w:val="DefaultParagraphFont"/>
    <w:link w:val="Header"/>
    <w:uiPriority w:val="99"/>
    <w:semiHidden/>
    <w:rsid w:val="009362FF"/>
    <w:rPr>
      <w:rFonts w:ascii="Times New Roman" w:eastAsia="Malgun Gothic" w:hAnsi="Times New Roman" w:cs="Times New Roman"/>
      <w:kern w:val="0"/>
      <w:sz w:val="20"/>
      <w:szCs w:val="20"/>
      <w:lang w:val="en-GB"/>
      <w14:ligatures w14:val="none"/>
    </w:rPr>
  </w:style>
  <w:style w:type="paragraph" w:customStyle="1" w:styleId="NO">
    <w:name w:val="NO"/>
    <w:basedOn w:val="Normal"/>
    <w:link w:val="NOChar1"/>
    <w:qFormat/>
    <w:rsid w:val="00EB0C65"/>
    <w:pPr>
      <w:keepLines/>
      <w:overflowPunct w:val="0"/>
      <w:autoSpaceDE w:val="0"/>
      <w:autoSpaceDN w:val="0"/>
      <w:adjustRightInd w:val="0"/>
      <w:ind w:left="1135" w:hanging="851"/>
      <w:textAlignment w:val="baseline"/>
    </w:pPr>
    <w:rPr>
      <w:rFonts w:eastAsia="Times New Roman"/>
      <w:lang w:eastAsia="ja-JP"/>
    </w:rPr>
  </w:style>
  <w:style w:type="character" w:customStyle="1" w:styleId="NOChar1">
    <w:name w:val="NO Char1"/>
    <w:link w:val="NO"/>
    <w:qFormat/>
    <w:rsid w:val="00EB0C65"/>
    <w:rPr>
      <w:rFonts w:ascii="Times New Roman" w:eastAsia="Times New Roman" w:hAnsi="Times New Roman" w:cs="Times New Roman"/>
      <w:kern w:val="0"/>
      <w:sz w:val="20"/>
      <w:szCs w:val="20"/>
      <w:lang w:val="en-GB" w:eastAsia="ja-JP"/>
      <w14:ligatures w14:val="none"/>
    </w:rPr>
  </w:style>
  <w:style w:type="paragraph" w:customStyle="1" w:styleId="Agreement">
    <w:name w:val="Agreement"/>
    <w:basedOn w:val="Normal"/>
    <w:next w:val="Doc-text2"/>
    <w:qFormat/>
    <w:rsid w:val="003C6854"/>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8CD1BA-6A74-4D05-A707-D659A155C9A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18DA767C-F871-41A0-AF07-92663D96174C}">
  <ds:schemaRefs>
    <ds:schemaRef ds:uri="http://schemas.microsoft.com/sharepoint/v3/contenttype/forms"/>
  </ds:schemaRefs>
</ds:datastoreItem>
</file>

<file path=customXml/itemProps3.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customXml/itemProps4.xml><?xml version="1.0" encoding="utf-8"?>
<ds:datastoreItem xmlns:ds="http://schemas.openxmlformats.org/officeDocument/2006/customXml" ds:itemID="{9A70DBE1-751E-447C-A9AF-5EE1876F6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29</TotalTime>
  <Pages>5</Pages>
  <Words>1571</Words>
  <Characters>8961</Characters>
  <Application>Microsoft Office Word</Application>
  <DocSecurity>0</DocSecurity>
  <Lines>74</Lines>
  <Paragraphs>21</Paragraphs>
  <ScaleCrop>false</ScaleCrop>
  <Company/>
  <LinksUpToDate>false</LinksUpToDate>
  <CharactersWithSpaces>10511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Bharat-QC-2</cp:lastModifiedBy>
  <cp:revision>763</cp:revision>
  <dcterms:created xsi:type="dcterms:W3CDTF">2025-03-27T20:56:00Z</dcterms:created>
  <dcterms:modified xsi:type="dcterms:W3CDTF">2025-03-28T06:03:00Z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